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1CFB4" w14:textId="77777777" w:rsidR="00344778" w:rsidRPr="00336CD7" w:rsidRDefault="00344778" w:rsidP="00C617DB">
      <w:pPr>
        <w:rPr>
          <w:b/>
        </w:rPr>
      </w:pPr>
      <w:r w:rsidRPr="00344778">
        <w:rPr>
          <w:b/>
        </w:rPr>
        <w:t>Mind GYM PLC (</w:t>
      </w:r>
      <w:r>
        <w:rPr>
          <w:b/>
        </w:rPr>
        <w:t>“Mind Gym” or the “Company”)</w:t>
      </w:r>
    </w:p>
    <w:p w14:paraId="3E19FFDC" w14:textId="713EBD2C" w:rsidR="00C617DB" w:rsidRDefault="00700C6B" w:rsidP="00C617DB">
      <w:r>
        <w:t>Chair</w:t>
      </w:r>
      <w:r w:rsidR="00344778">
        <w:t>’s Corporate Governance Statement 20</w:t>
      </w:r>
      <w:r w:rsidR="001C23BD">
        <w:t>2</w:t>
      </w:r>
      <w:r w:rsidR="00B92988">
        <w:t>3</w:t>
      </w:r>
    </w:p>
    <w:p w14:paraId="0679821A" w14:textId="77777777" w:rsidR="00344778" w:rsidRDefault="00344778" w:rsidP="00C617DB">
      <w:pPr>
        <w:rPr>
          <w:b/>
        </w:rPr>
      </w:pPr>
      <w:r w:rsidRPr="00336CD7">
        <w:rPr>
          <w:b/>
        </w:rPr>
        <w:t>Introduction</w:t>
      </w:r>
    </w:p>
    <w:p w14:paraId="7E80D77D" w14:textId="773DA8BF" w:rsidR="00344778" w:rsidRDefault="00344778" w:rsidP="00C617DB">
      <w:r>
        <w:t xml:space="preserve">This statement is issued in compliance with Rule 26 of the AIM Rules. </w:t>
      </w:r>
      <w:r w:rsidR="00EC7EC4">
        <w:t>Mind Gym is incorporated in England and Wales and its shares have been listed on AIM since June 201</w:t>
      </w:r>
      <w:r w:rsidR="001C23BD">
        <w:t>8</w:t>
      </w:r>
      <w:r w:rsidR="00EC7EC4">
        <w:t xml:space="preserve">. </w:t>
      </w:r>
    </w:p>
    <w:p w14:paraId="2FD7D185" w14:textId="77777777" w:rsidR="00EC7EC4" w:rsidRDefault="00EC7EC4" w:rsidP="00C617DB">
      <w:pPr>
        <w:rPr>
          <w:b/>
        </w:rPr>
      </w:pPr>
      <w:r w:rsidRPr="00336CD7">
        <w:rPr>
          <w:b/>
        </w:rPr>
        <w:t>The Principles of Corporate Governance</w:t>
      </w:r>
    </w:p>
    <w:p w14:paraId="058D9F94" w14:textId="5145CE41" w:rsidR="00EC7EC4" w:rsidRPr="00EC7EC4" w:rsidRDefault="00EC7EC4" w:rsidP="00B92988">
      <w:r>
        <w:t>As Chair, I am responsible for leading the Board and ensuring that we maintain the highest standards of corporate governance throughout the Company’s operations and particularly at Board level. As a Board we recognise that applying sound governance principles is essential to the long-term success of the company in delivering on its strategy and improving shareholder value</w:t>
      </w:r>
      <w:r w:rsidR="00B92988">
        <w:t>. In 2018, the</w:t>
      </w:r>
      <w:r>
        <w:t xml:space="preserve"> Company  adopted the Quoted Company Alliance’s Corporate Governance Code for small and mid-sized quoted companies (the </w:t>
      </w:r>
      <w:r w:rsidR="0070188F">
        <w:t>“QCA</w:t>
      </w:r>
      <w:r>
        <w:t xml:space="preserve"> Code”)</w:t>
      </w:r>
      <w:r w:rsidR="00B92988">
        <w:t xml:space="preserve"> which it believes is the governance framework that is most suitable to it. It therefore continues to use the QCA as its recognized corporate code.</w:t>
      </w:r>
      <w:r w:rsidR="006B42B6">
        <w:t xml:space="preserve"> </w:t>
      </w:r>
    </w:p>
    <w:p w14:paraId="327730C5" w14:textId="77777777" w:rsidR="00EC7EC4" w:rsidRDefault="00EC7EC4" w:rsidP="00C617DB">
      <w:pPr>
        <w:rPr>
          <w:b/>
        </w:rPr>
      </w:pPr>
      <w:r w:rsidRPr="00336CD7">
        <w:rPr>
          <w:b/>
        </w:rPr>
        <w:t xml:space="preserve">Compliance with the Code </w:t>
      </w:r>
    </w:p>
    <w:p w14:paraId="39ECD6E4" w14:textId="6045FC7C" w:rsidR="00961846" w:rsidRDefault="00B92988" w:rsidP="00FB0781">
      <w:pPr>
        <w:rPr>
          <w:b/>
        </w:rPr>
      </w:pPr>
      <w:r>
        <w:t>The QCA code is constructed around ten broad principles</w:t>
      </w:r>
      <w:r w:rsidRPr="00B92988">
        <w:t xml:space="preserve"> and a corresponding set of disclosures, and states what they consider to be appropriate arrangements for growing companies and ask them to provide an explanation about how they are meeting each principle through various disclosures</w:t>
      </w:r>
      <w:r>
        <w:t xml:space="preserve">. This report below sets out how we comply with the code. Compliance with the code will be reviewed and updated annually. </w:t>
      </w:r>
      <w:r w:rsidR="004D71D5">
        <w:t xml:space="preserve">The Board will continue to keep the governance structure under review to ensure it develops in line with the growth and strategic development of the Company. </w:t>
      </w:r>
      <w:r>
        <w:t>A more detailed view of the Company’s business model and strategy is available within our Annual Report and Accounts.</w:t>
      </w:r>
      <w:r w:rsidR="00EC7EC4" w:rsidRPr="00336CD7">
        <w:t xml:space="preserve"> </w:t>
      </w:r>
    </w:p>
    <w:p w14:paraId="44B3E04B" w14:textId="5F9D8B10" w:rsidR="00C617DB" w:rsidRPr="000D4312" w:rsidRDefault="00C617DB" w:rsidP="00C617DB">
      <w:pPr>
        <w:rPr>
          <w:b/>
        </w:rPr>
      </w:pPr>
      <w:r w:rsidRPr="000D4312">
        <w:rPr>
          <w:b/>
        </w:rPr>
        <w:t xml:space="preserve">The Board of Directors </w:t>
      </w:r>
    </w:p>
    <w:p w14:paraId="5BD42ED2" w14:textId="77777777" w:rsidR="004D71D5" w:rsidRDefault="00C617DB" w:rsidP="00C617DB">
      <w:r>
        <w:t xml:space="preserve">The board of directors is responsible for the proper management of the Company by formulating, reviewing and approving the Company's strategy, </w:t>
      </w:r>
      <w:r w:rsidR="004D71D5">
        <w:t>and setting the Company’s values and standards. Certain matters are specifically reserved for decision by the Board and these are set out in a formal Schedule of Matters Reserved for the Board which is reviewed annually. The matters reserved include decisions relating to:</w:t>
      </w:r>
    </w:p>
    <w:p w14:paraId="562A6D0B" w14:textId="1D95EFF4" w:rsidR="004D71D5" w:rsidRPr="00700C6B" w:rsidRDefault="004D71D5" w:rsidP="00700C6B">
      <w:pPr>
        <w:pStyle w:val="Default"/>
        <w:spacing w:after="22"/>
        <w:rPr>
          <w:rFonts w:asciiTheme="minorHAnsi" w:hAnsiTheme="minorHAnsi" w:cstheme="minorBidi"/>
          <w:color w:val="auto"/>
          <w:sz w:val="22"/>
          <w:szCs w:val="22"/>
        </w:rPr>
      </w:pPr>
      <w:r w:rsidRPr="00700C6B">
        <w:rPr>
          <w:rFonts w:asciiTheme="minorHAnsi" w:hAnsiTheme="minorHAnsi" w:cstheme="minorBidi"/>
          <w:color w:val="auto"/>
          <w:sz w:val="22"/>
          <w:szCs w:val="22"/>
        </w:rPr>
        <w:t xml:space="preserve">• </w:t>
      </w:r>
      <w:r w:rsidR="00700C6B">
        <w:rPr>
          <w:rFonts w:asciiTheme="minorHAnsi" w:hAnsiTheme="minorHAnsi" w:cstheme="minorBidi"/>
          <w:color w:val="auto"/>
          <w:sz w:val="22"/>
          <w:szCs w:val="22"/>
        </w:rPr>
        <w:t>a</w:t>
      </w:r>
      <w:r w:rsidRPr="00700C6B">
        <w:rPr>
          <w:rFonts w:asciiTheme="minorHAnsi" w:hAnsiTheme="minorHAnsi" w:cstheme="minorBidi"/>
          <w:color w:val="auto"/>
          <w:sz w:val="22"/>
          <w:szCs w:val="22"/>
        </w:rPr>
        <w:t>pproval of the Group’</w:t>
      </w:r>
      <w:r>
        <w:rPr>
          <w:rFonts w:asciiTheme="minorHAnsi" w:hAnsiTheme="minorHAnsi" w:cstheme="minorBidi"/>
          <w:color w:val="auto"/>
          <w:sz w:val="22"/>
          <w:szCs w:val="22"/>
        </w:rPr>
        <w:t xml:space="preserve">s strategic </w:t>
      </w:r>
      <w:r w:rsidRPr="00700C6B">
        <w:rPr>
          <w:rFonts w:asciiTheme="minorHAnsi" w:hAnsiTheme="minorHAnsi" w:cstheme="minorBidi"/>
          <w:color w:val="auto"/>
          <w:sz w:val="22"/>
          <w:szCs w:val="22"/>
        </w:rPr>
        <w:t>aims and objectives</w:t>
      </w:r>
      <w:r w:rsidR="00700C6B">
        <w:rPr>
          <w:rFonts w:asciiTheme="minorHAnsi" w:hAnsiTheme="minorHAnsi" w:cstheme="minorBidi"/>
          <w:color w:val="auto"/>
          <w:sz w:val="22"/>
          <w:szCs w:val="22"/>
        </w:rPr>
        <w:t>;</w:t>
      </w:r>
    </w:p>
    <w:p w14:paraId="34A62C51" w14:textId="1C2322CF" w:rsidR="004D71D5" w:rsidRPr="00700C6B" w:rsidRDefault="004D71D5" w:rsidP="00700C6B">
      <w:pPr>
        <w:pStyle w:val="Default"/>
        <w:spacing w:after="22"/>
        <w:rPr>
          <w:rFonts w:asciiTheme="minorHAnsi" w:hAnsiTheme="minorHAnsi" w:cstheme="minorBidi"/>
          <w:color w:val="auto"/>
          <w:sz w:val="22"/>
          <w:szCs w:val="22"/>
        </w:rPr>
      </w:pPr>
      <w:r w:rsidRPr="00700C6B">
        <w:rPr>
          <w:rFonts w:asciiTheme="minorHAnsi" w:hAnsiTheme="minorHAnsi" w:cstheme="minorBidi"/>
          <w:color w:val="auto"/>
          <w:sz w:val="22"/>
          <w:szCs w:val="22"/>
        </w:rPr>
        <w:t xml:space="preserve">• </w:t>
      </w:r>
      <w:r w:rsidR="00700C6B">
        <w:rPr>
          <w:rFonts w:asciiTheme="minorHAnsi" w:hAnsiTheme="minorHAnsi" w:cstheme="minorBidi"/>
          <w:color w:val="auto"/>
          <w:sz w:val="22"/>
          <w:szCs w:val="22"/>
        </w:rPr>
        <w:t>t</w:t>
      </w:r>
      <w:r w:rsidRPr="00700C6B">
        <w:rPr>
          <w:rFonts w:asciiTheme="minorHAnsi" w:hAnsiTheme="minorHAnsi" w:cstheme="minorBidi"/>
          <w:color w:val="auto"/>
          <w:sz w:val="22"/>
          <w:szCs w:val="22"/>
        </w:rPr>
        <w:t>he structure and capital of the Group</w:t>
      </w:r>
      <w:r w:rsidR="00700C6B">
        <w:rPr>
          <w:rFonts w:asciiTheme="minorHAnsi" w:hAnsiTheme="minorHAnsi" w:cstheme="minorBidi"/>
          <w:color w:val="auto"/>
          <w:sz w:val="22"/>
          <w:szCs w:val="22"/>
        </w:rPr>
        <w:t>;</w:t>
      </w:r>
    </w:p>
    <w:p w14:paraId="01C19679" w14:textId="0AFB1766" w:rsidR="004D71D5" w:rsidRPr="00700C6B" w:rsidRDefault="004D71D5" w:rsidP="00700C6B">
      <w:pPr>
        <w:pStyle w:val="Default"/>
        <w:spacing w:after="22"/>
        <w:rPr>
          <w:rFonts w:asciiTheme="minorHAnsi" w:hAnsiTheme="minorHAnsi" w:cstheme="minorBidi"/>
          <w:color w:val="auto"/>
          <w:sz w:val="22"/>
          <w:szCs w:val="22"/>
        </w:rPr>
      </w:pPr>
      <w:r w:rsidRPr="00700C6B">
        <w:rPr>
          <w:rFonts w:asciiTheme="minorHAnsi" w:hAnsiTheme="minorHAnsi" w:cstheme="minorBidi"/>
          <w:color w:val="auto"/>
          <w:sz w:val="22"/>
          <w:szCs w:val="22"/>
        </w:rPr>
        <w:t xml:space="preserve">• </w:t>
      </w:r>
      <w:r w:rsidR="00700C6B">
        <w:rPr>
          <w:rFonts w:asciiTheme="minorHAnsi" w:hAnsiTheme="minorHAnsi" w:cstheme="minorBidi"/>
          <w:color w:val="auto"/>
          <w:sz w:val="22"/>
          <w:szCs w:val="22"/>
        </w:rPr>
        <w:t>f</w:t>
      </w:r>
      <w:r w:rsidRPr="00700C6B">
        <w:rPr>
          <w:rFonts w:asciiTheme="minorHAnsi" w:hAnsiTheme="minorHAnsi" w:cstheme="minorBidi"/>
          <w:color w:val="auto"/>
          <w:sz w:val="22"/>
          <w:szCs w:val="22"/>
        </w:rPr>
        <w:t>inancial</w:t>
      </w:r>
      <w:r>
        <w:rPr>
          <w:rFonts w:asciiTheme="minorHAnsi" w:hAnsiTheme="minorHAnsi" w:cstheme="minorBidi"/>
          <w:color w:val="auto"/>
          <w:sz w:val="22"/>
          <w:szCs w:val="22"/>
        </w:rPr>
        <w:t xml:space="preserve"> reporting, financial controls, </w:t>
      </w:r>
      <w:r w:rsidRPr="00700C6B">
        <w:rPr>
          <w:rFonts w:asciiTheme="minorHAnsi" w:hAnsiTheme="minorHAnsi" w:cstheme="minorBidi"/>
          <w:color w:val="auto"/>
          <w:sz w:val="22"/>
          <w:szCs w:val="22"/>
        </w:rPr>
        <w:t>risk management and dividend policy</w:t>
      </w:r>
      <w:r w:rsidR="00700C6B">
        <w:rPr>
          <w:rFonts w:asciiTheme="minorHAnsi" w:hAnsiTheme="minorHAnsi" w:cstheme="minorBidi"/>
          <w:color w:val="auto"/>
          <w:sz w:val="22"/>
          <w:szCs w:val="22"/>
        </w:rPr>
        <w:t>;</w:t>
      </w:r>
    </w:p>
    <w:p w14:paraId="41076B5A" w14:textId="5DBD605F" w:rsidR="004D71D5" w:rsidRPr="00700C6B" w:rsidRDefault="004D71D5" w:rsidP="00700C6B">
      <w:pPr>
        <w:pStyle w:val="Default"/>
        <w:spacing w:after="22"/>
        <w:rPr>
          <w:rFonts w:asciiTheme="minorHAnsi" w:hAnsiTheme="minorHAnsi" w:cstheme="minorBidi"/>
          <w:color w:val="auto"/>
          <w:sz w:val="22"/>
          <w:szCs w:val="22"/>
        </w:rPr>
      </w:pPr>
      <w:r w:rsidRPr="00700C6B">
        <w:rPr>
          <w:rFonts w:asciiTheme="minorHAnsi" w:hAnsiTheme="minorHAnsi" w:cstheme="minorBidi"/>
          <w:color w:val="auto"/>
          <w:sz w:val="22"/>
          <w:szCs w:val="22"/>
        </w:rPr>
        <w:t xml:space="preserve">• </w:t>
      </w:r>
      <w:r w:rsidR="00700C6B">
        <w:rPr>
          <w:rFonts w:asciiTheme="minorHAnsi" w:hAnsiTheme="minorHAnsi" w:cstheme="minorBidi"/>
          <w:color w:val="auto"/>
          <w:sz w:val="22"/>
          <w:szCs w:val="22"/>
        </w:rPr>
        <w:t>a</w:t>
      </w:r>
      <w:r w:rsidRPr="00700C6B">
        <w:rPr>
          <w:rFonts w:asciiTheme="minorHAnsi" w:hAnsiTheme="minorHAnsi" w:cstheme="minorBidi"/>
          <w:color w:val="auto"/>
          <w:sz w:val="22"/>
          <w:szCs w:val="22"/>
        </w:rPr>
        <w:t>pproval of significant contracts and expen</w:t>
      </w:r>
      <w:r>
        <w:rPr>
          <w:rFonts w:asciiTheme="minorHAnsi" w:hAnsiTheme="minorHAnsi" w:cstheme="minorBidi"/>
          <w:color w:val="auto"/>
          <w:sz w:val="22"/>
          <w:szCs w:val="22"/>
        </w:rPr>
        <w:t xml:space="preserve">diture </w:t>
      </w:r>
      <w:r w:rsidRPr="00700C6B">
        <w:rPr>
          <w:rFonts w:asciiTheme="minorHAnsi" w:hAnsiTheme="minorHAnsi" w:cstheme="minorBidi"/>
          <w:color w:val="auto"/>
          <w:sz w:val="22"/>
          <w:szCs w:val="22"/>
        </w:rPr>
        <w:t>above agreed delegated authority limits</w:t>
      </w:r>
      <w:r w:rsidR="00700C6B">
        <w:rPr>
          <w:rFonts w:asciiTheme="minorHAnsi" w:hAnsiTheme="minorHAnsi" w:cstheme="minorBidi"/>
          <w:color w:val="auto"/>
          <w:sz w:val="22"/>
          <w:szCs w:val="22"/>
        </w:rPr>
        <w:t>;</w:t>
      </w:r>
    </w:p>
    <w:p w14:paraId="54AE25CC" w14:textId="4526FED1" w:rsidR="004D71D5" w:rsidRPr="00700C6B" w:rsidRDefault="004D71D5" w:rsidP="00700C6B">
      <w:pPr>
        <w:pStyle w:val="Default"/>
        <w:spacing w:after="22"/>
        <w:rPr>
          <w:rFonts w:asciiTheme="minorHAnsi" w:hAnsiTheme="minorHAnsi" w:cstheme="minorBidi"/>
          <w:color w:val="auto"/>
          <w:sz w:val="22"/>
          <w:szCs w:val="22"/>
        </w:rPr>
      </w:pPr>
      <w:r w:rsidRPr="00700C6B">
        <w:rPr>
          <w:rFonts w:asciiTheme="minorHAnsi" w:hAnsiTheme="minorHAnsi" w:cstheme="minorBidi"/>
          <w:color w:val="auto"/>
          <w:sz w:val="22"/>
          <w:szCs w:val="22"/>
        </w:rPr>
        <w:t xml:space="preserve">• </w:t>
      </w:r>
      <w:r w:rsidR="00700C6B">
        <w:rPr>
          <w:rFonts w:asciiTheme="minorHAnsi" w:hAnsiTheme="minorHAnsi" w:cstheme="minorBidi"/>
          <w:color w:val="auto"/>
          <w:sz w:val="22"/>
          <w:szCs w:val="22"/>
        </w:rPr>
        <w:t>e</w:t>
      </w:r>
      <w:r w:rsidRPr="00700C6B">
        <w:rPr>
          <w:rFonts w:asciiTheme="minorHAnsi" w:hAnsiTheme="minorHAnsi" w:cstheme="minorBidi"/>
          <w:color w:val="auto"/>
          <w:sz w:val="22"/>
          <w:szCs w:val="22"/>
        </w:rPr>
        <w:t>ffective communication with shareholders</w:t>
      </w:r>
      <w:r w:rsidR="00700C6B">
        <w:rPr>
          <w:rFonts w:asciiTheme="minorHAnsi" w:hAnsiTheme="minorHAnsi" w:cstheme="minorBidi"/>
          <w:color w:val="auto"/>
          <w:sz w:val="22"/>
          <w:szCs w:val="22"/>
        </w:rPr>
        <w:t xml:space="preserve">; and </w:t>
      </w:r>
    </w:p>
    <w:p w14:paraId="20B1C27B" w14:textId="040A7DC2" w:rsidR="004D71D5" w:rsidRDefault="004D71D5" w:rsidP="00700C6B">
      <w:pPr>
        <w:pStyle w:val="Default"/>
        <w:spacing w:after="22"/>
      </w:pPr>
      <w:r w:rsidRPr="00700C6B">
        <w:rPr>
          <w:rFonts w:asciiTheme="minorHAnsi" w:hAnsiTheme="minorHAnsi" w:cstheme="minorBidi"/>
          <w:color w:val="auto"/>
          <w:sz w:val="22"/>
          <w:szCs w:val="22"/>
        </w:rPr>
        <w:t xml:space="preserve">• </w:t>
      </w:r>
      <w:r w:rsidR="00700C6B">
        <w:rPr>
          <w:rFonts w:asciiTheme="minorHAnsi" w:hAnsiTheme="minorHAnsi" w:cstheme="minorBidi"/>
          <w:color w:val="auto"/>
          <w:sz w:val="22"/>
          <w:szCs w:val="22"/>
        </w:rPr>
        <w:t>a</w:t>
      </w:r>
      <w:r w:rsidRPr="00700C6B">
        <w:rPr>
          <w:rFonts w:asciiTheme="minorHAnsi" w:hAnsiTheme="minorHAnsi" w:cstheme="minorBidi"/>
          <w:color w:val="auto"/>
          <w:sz w:val="22"/>
          <w:szCs w:val="22"/>
        </w:rPr>
        <w:t>ny changes to Board and committee</w:t>
      </w:r>
      <w:r w:rsidR="00700C6B">
        <w:rPr>
          <w:rFonts w:asciiTheme="minorHAnsi" w:hAnsiTheme="minorHAnsi" w:cstheme="minorBidi"/>
          <w:color w:val="auto"/>
          <w:sz w:val="22"/>
          <w:szCs w:val="22"/>
        </w:rPr>
        <w:t>.</w:t>
      </w:r>
    </w:p>
    <w:p w14:paraId="656B18DD" w14:textId="77777777" w:rsidR="004D71D5" w:rsidRPr="004D71D5" w:rsidRDefault="004D71D5" w:rsidP="00700C6B">
      <w:pPr>
        <w:pStyle w:val="Default"/>
        <w:spacing w:after="22"/>
      </w:pPr>
    </w:p>
    <w:p w14:paraId="231F4FFB" w14:textId="2574E048" w:rsidR="004B4E68" w:rsidRPr="00700C6B" w:rsidRDefault="004B4E68" w:rsidP="00DF51F0">
      <w:pPr>
        <w:autoSpaceDE w:val="0"/>
        <w:autoSpaceDN w:val="0"/>
        <w:adjustRightInd w:val="0"/>
        <w:spacing w:after="0" w:line="240" w:lineRule="auto"/>
      </w:pPr>
      <w:r w:rsidRPr="00700C6B">
        <w:t>As a provider of beh</w:t>
      </w:r>
      <w:r w:rsidRPr="004B4E68">
        <w:t>aviour change solutions to blue</w:t>
      </w:r>
      <w:r>
        <w:t xml:space="preserve"> </w:t>
      </w:r>
      <w:r w:rsidRPr="00700C6B">
        <w:t>chip organisations across the globe, and an AIM</w:t>
      </w:r>
      <w:r>
        <w:t xml:space="preserve"> </w:t>
      </w:r>
      <w:r w:rsidRPr="004B4E68">
        <w:t>quoted</w:t>
      </w:r>
      <w:r>
        <w:t xml:space="preserve"> </w:t>
      </w:r>
      <w:r w:rsidRPr="00700C6B">
        <w:t>compan</w:t>
      </w:r>
      <w:r w:rsidRPr="004B4E68">
        <w:t xml:space="preserve">y, </w:t>
      </w:r>
      <w:proofErr w:type="spellStart"/>
      <w:r w:rsidRPr="004B4E68">
        <w:t>MindGym</w:t>
      </w:r>
      <w:proofErr w:type="spellEnd"/>
      <w:r w:rsidRPr="004B4E68">
        <w:t xml:space="preserve"> plc requires a range</w:t>
      </w:r>
      <w:r>
        <w:t xml:space="preserve"> </w:t>
      </w:r>
      <w:r w:rsidRPr="00700C6B">
        <w:t>of skills, capabilities and competencies to be</w:t>
      </w:r>
    </w:p>
    <w:p w14:paraId="169F9749" w14:textId="4F64804C" w:rsidR="004B4E68" w:rsidRPr="00700C6B" w:rsidRDefault="004B4E68" w:rsidP="004B4E68">
      <w:pPr>
        <w:autoSpaceDE w:val="0"/>
        <w:autoSpaceDN w:val="0"/>
        <w:adjustRightInd w:val="0"/>
        <w:spacing w:after="0" w:line="240" w:lineRule="auto"/>
      </w:pPr>
      <w:r w:rsidRPr="00700C6B">
        <w:t>represented on the</w:t>
      </w:r>
      <w:r w:rsidRPr="004B4E68">
        <w:t xml:space="preserve"> Board, including experience in</w:t>
      </w:r>
      <w:r>
        <w:t xml:space="preserve"> </w:t>
      </w:r>
      <w:r w:rsidRPr="00700C6B">
        <w:t>behavioural science, consultancy, public markets,</w:t>
      </w:r>
    </w:p>
    <w:p w14:paraId="007661CD" w14:textId="274EC049" w:rsidR="004B4E68" w:rsidRDefault="004B4E68" w:rsidP="00DF51F0">
      <w:pPr>
        <w:autoSpaceDE w:val="0"/>
        <w:autoSpaceDN w:val="0"/>
        <w:adjustRightInd w:val="0"/>
        <w:spacing w:after="0" w:line="240" w:lineRule="auto"/>
      </w:pPr>
      <w:r w:rsidRPr="00700C6B">
        <w:t xml:space="preserve">governance and </w:t>
      </w:r>
      <w:r w:rsidRPr="004B4E68">
        <w:t>audit, and business operations.</w:t>
      </w:r>
      <w:r>
        <w:t xml:space="preserve"> </w:t>
      </w:r>
    </w:p>
    <w:p w14:paraId="593933D7" w14:textId="05C65636" w:rsidR="00336CD7" w:rsidRPr="00336CD7" w:rsidRDefault="00336CD7" w:rsidP="00336CD7">
      <w:pPr>
        <w:pStyle w:val="Heading2"/>
        <w:spacing w:before="193"/>
        <w:rPr>
          <w:rFonts w:asciiTheme="minorHAnsi" w:eastAsiaTheme="minorHAnsi" w:hAnsiTheme="minorHAnsi" w:cstheme="minorBidi"/>
          <w:color w:val="auto"/>
          <w:sz w:val="22"/>
          <w:szCs w:val="22"/>
        </w:rPr>
      </w:pPr>
      <w:r w:rsidRPr="00336CD7">
        <w:rPr>
          <w:rFonts w:asciiTheme="minorHAnsi" w:eastAsiaTheme="minorHAnsi" w:hAnsiTheme="minorHAnsi" w:cstheme="minorBidi"/>
          <w:color w:val="auto"/>
          <w:sz w:val="22"/>
          <w:szCs w:val="22"/>
        </w:rPr>
        <w:t xml:space="preserve">The roles and responsibilities </w:t>
      </w:r>
      <w:r w:rsidR="00F3486D">
        <w:rPr>
          <w:rFonts w:asciiTheme="minorHAnsi" w:eastAsiaTheme="minorHAnsi" w:hAnsiTheme="minorHAnsi" w:cstheme="minorBidi"/>
          <w:color w:val="auto"/>
          <w:sz w:val="22"/>
          <w:szCs w:val="22"/>
        </w:rPr>
        <w:t>of the Chair, Chief E</w:t>
      </w:r>
      <w:r w:rsidRPr="00336CD7">
        <w:rPr>
          <w:rFonts w:asciiTheme="minorHAnsi" w:eastAsiaTheme="minorHAnsi" w:hAnsiTheme="minorHAnsi" w:cstheme="minorBidi"/>
          <w:color w:val="auto"/>
          <w:sz w:val="22"/>
          <w:szCs w:val="22"/>
        </w:rPr>
        <w:t xml:space="preserve">xecutive </w:t>
      </w:r>
      <w:r w:rsidR="00F3486D">
        <w:rPr>
          <w:rFonts w:asciiTheme="minorHAnsi" w:eastAsiaTheme="minorHAnsi" w:hAnsiTheme="minorHAnsi" w:cstheme="minorBidi"/>
          <w:color w:val="auto"/>
          <w:sz w:val="22"/>
          <w:szCs w:val="22"/>
        </w:rPr>
        <w:t>Director</w:t>
      </w:r>
      <w:r w:rsidR="001C6FBD">
        <w:rPr>
          <w:rFonts w:asciiTheme="minorHAnsi" w:eastAsiaTheme="minorHAnsi" w:hAnsiTheme="minorHAnsi" w:cstheme="minorBidi"/>
          <w:color w:val="auto"/>
          <w:sz w:val="22"/>
          <w:szCs w:val="22"/>
        </w:rPr>
        <w:t xml:space="preserve">, </w:t>
      </w:r>
      <w:r w:rsidR="00F3486D">
        <w:rPr>
          <w:rFonts w:asciiTheme="minorHAnsi" w:eastAsiaTheme="minorHAnsi" w:hAnsiTheme="minorHAnsi" w:cstheme="minorBidi"/>
          <w:color w:val="auto"/>
          <w:sz w:val="22"/>
          <w:szCs w:val="22"/>
        </w:rPr>
        <w:t>Senior Independent D</w:t>
      </w:r>
      <w:r w:rsidRPr="00336CD7">
        <w:rPr>
          <w:rFonts w:asciiTheme="minorHAnsi" w:eastAsiaTheme="minorHAnsi" w:hAnsiTheme="minorHAnsi" w:cstheme="minorBidi"/>
          <w:color w:val="auto"/>
          <w:sz w:val="22"/>
          <w:szCs w:val="22"/>
        </w:rPr>
        <w:t>irector</w:t>
      </w:r>
      <w:r>
        <w:rPr>
          <w:rFonts w:asciiTheme="minorHAnsi" w:eastAsiaTheme="minorHAnsi" w:hAnsiTheme="minorHAnsi" w:cstheme="minorBidi"/>
          <w:color w:val="auto"/>
          <w:sz w:val="22"/>
          <w:szCs w:val="22"/>
        </w:rPr>
        <w:t xml:space="preserve"> </w:t>
      </w:r>
      <w:r w:rsidR="001C6FBD">
        <w:rPr>
          <w:rFonts w:asciiTheme="minorHAnsi" w:eastAsiaTheme="minorHAnsi" w:hAnsiTheme="minorHAnsi" w:cstheme="minorBidi"/>
          <w:color w:val="auto"/>
          <w:sz w:val="22"/>
          <w:szCs w:val="22"/>
        </w:rPr>
        <w:t xml:space="preserve">and independent Non-Executive Directors </w:t>
      </w:r>
      <w:r>
        <w:rPr>
          <w:rFonts w:asciiTheme="minorHAnsi" w:eastAsiaTheme="minorHAnsi" w:hAnsiTheme="minorHAnsi" w:cstheme="minorBidi"/>
          <w:color w:val="auto"/>
          <w:sz w:val="22"/>
          <w:szCs w:val="22"/>
        </w:rPr>
        <w:t>are set out below:</w:t>
      </w:r>
    </w:p>
    <w:p w14:paraId="01052953" w14:textId="4CA01818" w:rsidR="00336CD7" w:rsidRPr="00336CD7" w:rsidRDefault="001C6FBD" w:rsidP="00336CD7">
      <w:pPr>
        <w:widowControl w:val="0"/>
        <w:autoSpaceDE w:val="0"/>
        <w:autoSpaceDN w:val="0"/>
        <w:spacing w:before="193" w:after="0" w:line="240" w:lineRule="auto"/>
        <w:outlineLvl w:val="1"/>
      </w:pPr>
      <w:r>
        <w:t>Ruby McGregor-Smith</w:t>
      </w:r>
      <w:r w:rsidR="00336CD7" w:rsidRPr="00336CD7">
        <w:t xml:space="preserve">, as Chair of the Board, is responsible for leading an effective board, upholding </w:t>
      </w:r>
      <w:r w:rsidR="00336CD7" w:rsidRPr="00336CD7">
        <w:lastRenderedPageBreak/>
        <w:t>high standards of corporate governance throughout the Group, particularly at Board level, and ensuring appropriate strategic focus and direction.</w:t>
      </w:r>
    </w:p>
    <w:p w14:paraId="3E0EF347" w14:textId="1B5EC1C3" w:rsidR="00336CD7" w:rsidRPr="00336CD7" w:rsidRDefault="00336CD7" w:rsidP="00336CD7">
      <w:pPr>
        <w:widowControl w:val="0"/>
        <w:autoSpaceDE w:val="0"/>
        <w:autoSpaceDN w:val="0"/>
        <w:spacing w:before="193" w:after="0" w:line="240" w:lineRule="auto"/>
        <w:outlineLvl w:val="1"/>
      </w:pPr>
      <w:r w:rsidRPr="00336CD7">
        <w:t>The Chief Executive Officer</w:t>
      </w:r>
      <w:r w:rsidR="00761D97">
        <w:t xml:space="preserve">, </w:t>
      </w:r>
      <w:r w:rsidRPr="00336CD7">
        <w:t>Octavius Black</w:t>
      </w:r>
      <w:r w:rsidR="00761D97">
        <w:t>,</w:t>
      </w:r>
      <w:r w:rsidRPr="00336CD7">
        <w:t xml:space="preserve"> has overall responsibility for proposing the strategic focus to the Board, delivery of the business model and strategy and the day-to-day management of the Group’s business. </w:t>
      </w:r>
    </w:p>
    <w:p w14:paraId="0DF8FF38" w14:textId="136AD987" w:rsidR="00700C6B" w:rsidRDefault="0004490E" w:rsidP="00336CD7">
      <w:pPr>
        <w:widowControl w:val="0"/>
        <w:autoSpaceDE w:val="0"/>
        <w:autoSpaceDN w:val="0"/>
        <w:spacing w:before="193" w:after="0" w:line="240" w:lineRule="auto"/>
        <w:outlineLvl w:val="1"/>
      </w:pPr>
      <w:r>
        <w:t>Sally Tilleray</w:t>
      </w:r>
      <w:r w:rsidR="00336CD7" w:rsidRPr="00336CD7">
        <w:t xml:space="preserve">, the senior independent Non-Executive Director, acts as a sounding board for the Chair and serves as an intermediary for the other Directors when necessary. The SID is also available to shareholders should they wish to discuss concerns they have failed to resolve through the normal channels of </w:t>
      </w:r>
      <w:r w:rsidR="00700C6B">
        <w:t>Chair</w:t>
      </w:r>
      <w:r w:rsidR="00336CD7" w:rsidRPr="00336CD7">
        <w:t>, Chief Executive Officer or Executive Directors or for which such contact is inappropriate.</w:t>
      </w:r>
    </w:p>
    <w:p w14:paraId="0527CD43" w14:textId="77777777" w:rsidR="00700C6B" w:rsidRDefault="00700C6B" w:rsidP="00700C6B">
      <w:pPr>
        <w:widowControl w:val="0"/>
        <w:autoSpaceDE w:val="0"/>
        <w:autoSpaceDN w:val="0"/>
        <w:spacing w:after="0" w:line="240" w:lineRule="auto"/>
        <w:outlineLvl w:val="1"/>
      </w:pPr>
    </w:p>
    <w:p w14:paraId="6ED877C4" w14:textId="77777777" w:rsidR="001C6FBD" w:rsidRPr="00D603F6" w:rsidRDefault="001C6FBD" w:rsidP="001C6FBD">
      <w:pPr>
        <w:autoSpaceDE w:val="0"/>
        <w:autoSpaceDN w:val="0"/>
        <w:adjustRightInd w:val="0"/>
        <w:spacing w:after="0" w:line="240" w:lineRule="auto"/>
      </w:pPr>
      <w:r w:rsidRPr="00D603F6">
        <w:t>The inde</w:t>
      </w:r>
      <w:r w:rsidRPr="00D24FB5">
        <w:t>pendent Non-Executive Directors</w:t>
      </w:r>
      <w:r>
        <w:t xml:space="preserve"> </w:t>
      </w:r>
      <w:r w:rsidRPr="00D603F6">
        <w:t>collectively bring a b</w:t>
      </w:r>
      <w:r w:rsidRPr="00D24FB5">
        <w:t>alance of skills and experience</w:t>
      </w:r>
      <w:r>
        <w:t xml:space="preserve"> </w:t>
      </w:r>
      <w:r w:rsidRPr="00D603F6">
        <w:t>which mean they a</w:t>
      </w:r>
      <w:r w:rsidRPr="00D24FB5">
        <w:t>re able to provide constructive</w:t>
      </w:r>
      <w:r>
        <w:t xml:space="preserve"> </w:t>
      </w:r>
      <w:r w:rsidRPr="00D603F6">
        <w:t>support and challe</w:t>
      </w:r>
      <w:r w:rsidRPr="00D24FB5">
        <w:t>nge to the Executive Directors.</w:t>
      </w:r>
      <w:r>
        <w:t xml:space="preserve"> </w:t>
      </w:r>
      <w:r w:rsidRPr="00D603F6">
        <w:t>The Non-Executive D</w:t>
      </w:r>
      <w:r w:rsidRPr="00D24FB5">
        <w:t>irectors are expected to attend</w:t>
      </w:r>
      <w:r>
        <w:t xml:space="preserve"> </w:t>
      </w:r>
      <w:r w:rsidRPr="00D603F6">
        <w:t>such external even</w:t>
      </w:r>
      <w:r w:rsidRPr="00D24FB5">
        <w:t>ts and seminars as necessary to</w:t>
      </w:r>
      <w:r>
        <w:t xml:space="preserve"> </w:t>
      </w:r>
      <w:r w:rsidRPr="00D603F6">
        <w:t xml:space="preserve">ensure that their </w:t>
      </w:r>
      <w:r w:rsidRPr="00D24FB5">
        <w:t>knowledge of relevant financial</w:t>
      </w:r>
      <w:r>
        <w:t xml:space="preserve"> </w:t>
      </w:r>
      <w:r w:rsidRPr="00D603F6">
        <w:t>reporting and corporate governance requirements</w:t>
      </w:r>
    </w:p>
    <w:p w14:paraId="46DB77AA" w14:textId="4EA82796" w:rsidR="00CC441E" w:rsidRDefault="001C6FBD" w:rsidP="00C617DB">
      <w:r w:rsidRPr="00D603F6">
        <w:t>are up to date.</w:t>
      </w:r>
    </w:p>
    <w:p w14:paraId="14CD4D04" w14:textId="77777777" w:rsidR="00700C6B" w:rsidRDefault="001C6FBD" w:rsidP="00C617DB">
      <w:r w:rsidRPr="00D603F6">
        <w:t xml:space="preserve">The Company </w:t>
      </w:r>
      <w:r w:rsidRPr="00D24FB5">
        <w:t>Secretary also ensures, through</w:t>
      </w:r>
      <w:r>
        <w:t xml:space="preserve"> </w:t>
      </w:r>
      <w:r w:rsidRPr="00D603F6">
        <w:t>regular updates t</w:t>
      </w:r>
      <w:r w:rsidRPr="00D24FB5">
        <w:t>o the Board, that Directors are</w:t>
      </w:r>
      <w:r>
        <w:t xml:space="preserve"> </w:t>
      </w:r>
      <w:r w:rsidRPr="00D603F6">
        <w:t>aware of devel</w:t>
      </w:r>
      <w:r w:rsidRPr="00D24FB5">
        <w:t>opments in corporate governance</w:t>
      </w:r>
      <w:r>
        <w:t xml:space="preserve"> </w:t>
      </w:r>
      <w:r w:rsidRPr="00D603F6">
        <w:t>practice and leg</w:t>
      </w:r>
      <w:r w:rsidRPr="00D24FB5">
        <w:t>islative and regulatory changes</w:t>
      </w:r>
      <w:r>
        <w:t xml:space="preserve"> </w:t>
      </w:r>
      <w:r w:rsidRPr="00D603F6">
        <w:t>which may impact on the Company.</w:t>
      </w:r>
      <w:r>
        <w:t xml:space="preserve"> </w:t>
      </w:r>
    </w:p>
    <w:p w14:paraId="264ADC5E" w14:textId="41ED31EB" w:rsidR="00CC441E" w:rsidRDefault="00C617DB" w:rsidP="00C617DB">
      <w:r>
        <w:t xml:space="preserve">Each director serves on the board until the annual general meeting following his or her election or appointment, and the board meets at least four times a year. </w:t>
      </w:r>
    </w:p>
    <w:p w14:paraId="0E76126C" w14:textId="078C23EC" w:rsidR="00C617DB" w:rsidRPr="00F3486D" w:rsidRDefault="00893FB7" w:rsidP="00C617DB">
      <w:pPr>
        <w:rPr>
          <w:b/>
        </w:rPr>
      </w:pPr>
      <w:r>
        <w:rPr>
          <w:b/>
        </w:rPr>
        <w:t xml:space="preserve">Board Committees </w:t>
      </w:r>
    </w:p>
    <w:p w14:paraId="2DADA9C3" w14:textId="77777777" w:rsidR="00B57CA6" w:rsidRDefault="001C6FBD" w:rsidP="00C617DB">
      <w:r>
        <w:t xml:space="preserve">The Board is supported in its work by two Board committees, the Audit and Risk Committee and the Remuneration and Nomination Committee. Each Board committee has approved Terms of Reference. The Terms of Reference are reviewed at least annually and are available on the Company’s website </w:t>
      </w:r>
      <w:r w:rsidR="00B57CA6">
        <w:t>here:</w:t>
      </w:r>
    </w:p>
    <w:p w14:paraId="62AD7972" w14:textId="355FA3A3" w:rsidR="00C617DB" w:rsidRPr="00812D38" w:rsidRDefault="00812D38" w:rsidP="00B57CA6">
      <w:pPr>
        <w:pStyle w:val="ListParagraph"/>
        <w:numPr>
          <w:ilvl w:val="0"/>
          <w:numId w:val="13"/>
        </w:numPr>
        <w:spacing w:after="0"/>
        <w:rPr>
          <w:rStyle w:val="Hyperlink"/>
        </w:rPr>
      </w:pPr>
      <w:r>
        <w:fldChar w:fldCharType="begin"/>
      </w:r>
      <w:r w:rsidR="00A40227">
        <w:instrText>HYPERLINK "https://go.pardot.com/l/14972/2021-10-11/pn4lln/14972/1633969748gGV78GlH/Audit_and_Risk_Committee_Terms_of_Reference.docx"</w:instrText>
      </w:r>
      <w:r>
        <w:fldChar w:fldCharType="separate"/>
      </w:r>
      <w:r w:rsidR="00B57CA6" w:rsidRPr="00812D38">
        <w:rPr>
          <w:rStyle w:val="Hyperlink"/>
        </w:rPr>
        <w:t>Audit and Risk Committee Terms of Reference</w:t>
      </w:r>
    </w:p>
    <w:p w14:paraId="0791D1CC" w14:textId="52EE919C" w:rsidR="00B57CA6" w:rsidRPr="00EC4A14" w:rsidRDefault="00812D38" w:rsidP="00B57CA6">
      <w:pPr>
        <w:pStyle w:val="ListParagraph"/>
        <w:numPr>
          <w:ilvl w:val="0"/>
          <w:numId w:val="13"/>
        </w:numPr>
        <w:spacing w:after="0"/>
        <w:rPr>
          <w:rStyle w:val="Hyperlink"/>
        </w:rPr>
      </w:pPr>
      <w:r>
        <w:fldChar w:fldCharType="end"/>
      </w:r>
      <w:r w:rsidR="00EC4A14">
        <w:fldChar w:fldCharType="begin"/>
      </w:r>
      <w:r w:rsidR="00A40227">
        <w:instrText>HYPERLINK "https://go.pardot.com/l/14972/2021-10-11/pn4llq/14972/1633969748wzsWsGYH/Remuneration_and_Nomination_Committee_Terms_of_Reference.pdf"</w:instrText>
      </w:r>
      <w:r w:rsidR="00EC4A14">
        <w:fldChar w:fldCharType="separate"/>
      </w:r>
      <w:r w:rsidR="00B57CA6" w:rsidRPr="00EC4A14">
        <w:rPr>
          <w:rStyle w:val="Hyperlink"/>
        </w:rPr>
        <w:t>Remuneration and Nomination Committee Terms of Reference</w:t>
      </w:r>
    </w:p>
    <w:p w14:paraId="4644C34C" w14:textId="4F040B4D" w:rsidR="00B57CA6" w:rsidRPr="00B57CA6" w:rsidRDefault="00EC4A14" w:rsidP="00B57CA6">
      <w:pPr>
        <w:spacing w:after="0"/>
      </w:pPr>
      <w:r>
        <w:fldChar w:fldCharType="end"/>
      </w:r>
    </w:p>
    <w:p w14:paraId="3418FDCE" w14:textId="77777777" w:rsidR="00C617DB" w:rsidRPr="00F3486D" w:rsidRDefault="00C617DB" w:rsidP="00C617DB">
      <w:pPr>
        <w:rPr>
          <w:b/>
        </w:rPr>
      </w:pPr>
      <w:r w:rsidRPr="00F3486D">
        <w:rPr>
          <w:b/>
        </w:rPr>
        <w:t xml:space="preserve">Audit and Risk Committee </w:t>
      </w:r>
    </w:p>
    <w:p w14:paraId="3DCD972F" w14:textId="77777777" w:rsidR="00C617DB" w:rsidRDefault="00C617DB" w:rsidP="00C617DB">
      <w:r>
        <w:t>The purpose of the Audit and Risk Committee is to monitor the integrity of the financial statements of the Company.</w:t>
      </w:r>
    </w:p>
    <w:p w14:paraId="132DCDA1" w14:textId="77777777" w:rsidR="00C617DB" w:rsidRDefault="00C617DB" w:rsidP="00C617DB">
      <w:r>
        <w:t xml:space="preserve">Some of the Audit and Risk Committee's duties include: </w:t>
      </w:r>
    </w:p>
    <w:p w14:paraId="5F364E03" w14:textId="2471CC43" w:rsidR="00C617DB" w:rsidRDefault="00C617DB" w:rsidP="0023181B">
      <w:pPr>
        <w:pStyle w:val="ListParagraph"/>
        <w:numPr>
          <w:ilvl w:val="0"/>
          <w:numId w:val="7"/>
        </w:numPr>
      </w:pPr>
      <w:r>
        <w:t xml:space="preserve">reviewing the Company's accounting policies and reports produced by internal and external audit functions; </w:t>
      </w:r>
    </w:p>
    <w:p w14:paraId="415BAF98" w14:textId="2A4937E1" w:rsidR="00C617DB" w:rsidRDefault="00C617DB" w:rsidP="0023181B">
      <w:pPr>
        <w:pStyle w:val="ListParagraph"/>
        <w:numPr>
          <w:ilvl w:val="0"/>
          <w:numId w:val="7"/>
        </w:numPr>
      </w:pPr>
      <w:r>
        <w:t xml:space="preserve">considering whether the Company has followed appropriate accounting standards and made appropriate estimates and judgments, taking into account the views of the external auditor; </w:t>
      </w:r>
    </w:p>
    <w:p w14:paraId="756C2046" w14:textId="2D9407FC" w:rsidR="00C617DB" w:rsidRDefault="00C617DB" w:rsidP="0023181B">
      <w:pPr>
        <w:pStyle w:val="ListParagraph"/>
        <w:numPr>
          <w:ilvl w:val="0"/>
          <w:numId w:val="7"/>
        </w:numPr>
      </w:pPr>
      <w:r>
        <w:t xml:space="preserve">reporting its views to the board of directors if it is not satisfied with any aspect of the proposed financial reporting by the Company; </w:t>
      </w:r>
    </w:p>
    <w:p w14:paraId="501F1743" w14:textId="47CA36D3" w:rsidR="00C617DB" w:rsidRDefault="00C617DB" w:rsidP="0023181B">
      <w:pPr>
        <w:pStyle w:val="ListParagraph"/>
        <w:numPr>
          <w:ilvl w:val="0"/>
          <w:numId w:val="7"/>
        </w:numPr>
      </w:pPr>
      <w:r>
        <w:t xml:space="preserve">reviewing the adequacy and effectiveness of the Company’s internal financial controls and internal control and risk management systems; </w:t>
      </w:r>
    </w:p>
    <w:p w14:paraId="53CC4CAA" w14:textId="03107019" w:rsidR="00C617DB" w:rsidRDefault="00C617DB" w:rsidP="0023181B">
      <w:pPr>
        <w:pStyle w:val="ListParagraph"/>
        <w:numPr>
          <w:ilvl w:val="0"/>
          <w:numId w:val="7"/>
        </w:numPr>
      </w:pPr>
      <w:r>
        <w:t xml:space="preserve">reviewing the adequacy and effectiveness of the Company's anti-money laundering systems and controls for the prevention of bribery and receive reports on non-compliance; and </w:t>
      </w:r>
    </w:p>
    <w:p w14:paraId="5FA6021A" w14:textId="7E31DC01" w:rsidR="00C617DB" w:rsidRDefault="00C617DB" w:rsidP="0023181B">
      <w:pPr>
        <w:pStyle w:val="ListParagraph"/>
        <w:numPr>
          <w:ilvl w:val="0"/>
          <w:numId w:val="7"/>
        </w:numPr>
      </w:pPr>
      <w:r>
        <w:lastRenderedPageBreak/>
        <w:t>overseeing the appointment of and the relationship with the external auditor.</w:t>
      </w:r>
    </w:p>
    <w:p w14:paraId="1718CC00" w14:textId="1BB6E1B9" w:rsidR="00C617DB" w:rsidRPr="00644842" w:rsidRDefault="00C617DB" w:rsidP="00C617DB">
      <w:pPr>
        <w:rPr>
          <w:b/>
        </w:rPr>
      </w:pPr>
      <w:r w:rsidRPr="00644842">
        <w:rPr>
          <w:b/>
        </w:rPr>
        <w:t xml:space="preserve">Remuneration </w:t>
      </w:r>
      <w:r w:rsidR="00700C6B">
        <w:rPr>
          <w:b/>
        </w:rPr>
        <w:t xml:space="preserve">and Nomination </w:t>
      </w:r>
      <w:r w:rsidRPr="00644842">
        <w:rPr>
          <w:b/>
        </w:rPr>
        <w:t xml:space="preserve">Committee </w:t>
      </w:r>
    </w:p>
    <w:p w14:paraId="2D56D3AC" w14:textId="57CC643B" w:rsidR="00C617DB" w:rsidRDefault="00C617DB" w:rsidP="00C617DB">
      <w:r>
        <w:t>The purpose of the Remuneration</w:t>
      </w:r>
      <w:r w:rsidR="00700C6B">
        <w:t xml:space="preserve"> and Nomination</w:t>
      </w:r>
      <w:r>
        <w:t xml:space="preserve"> Committee is to determine and agree with the board the framework or broad policy for the remuneration of the Company’s chairperson and the executive directors as well as the composition of the board itself. </w:t>
      </w:r>
    </w:p>
    <w:p w14:paraId="770345BF" w14:textId="58A31015" w:rsidR="00C617DB" w:rsidRDefault="00C617DB" w:rsidP="00C617DB">
      <w:r>
        <w:t>Some of the Remuneration</w:t>
      </w:r>
      <w:r w:rsidR="00700C6B">
        <w:t xml:space="preserve"> and Nomination</w:t>
      </w:r>
      <w:r>
        <w:t xml:space="preserve"> Committee's duties include: </w:t>
      </w:r>
    </w:p>
    <w:p w14:paraId="5397AF8A" w14:textId="08751212" w:rsidR="00C617DB" w:rsidRDefault="00C617DB" w:rsidP="0023181B">
      <w:pPr>
        <w:pStyle w:val="ListParagraph"/>
        <w:numPr>
          <w:ilvl w:val="0"/>
          <w:numId w:val="7"/>
        </w:numPr>
      </w:pPr>
      <w:r>
        <w:t xml:space="preserve">reviewing the pay and employment conditions across the Company, including the board of directors; </w:t>
      </w:r>
    </w:p>
    <w:p w14:paraId="7D362469" w14:textId="37AB6A63" w:rsidR="00C617DB" w:rsidRDefault="00C617DB" w:rsidP="0023181B">
      <w:pPr>
        <w:pStyle w:val="ListParagraph"/>
        <w:numPr>
          <w:ilvl w:val="0"/>
          <w:numId w:val="7"/>
        </w:numPr>
      </w:pPr>
      <w:r>
        <w:t xml:space="preserve">approving targets and performance related pay schemes operated by the Company and all share incentive plans and pension arrangements; </w:t>
      </w:r>
    </w:p>
    <w:p w14:paraId="51EA7CA2" w14:textId="671E13C0" w:rsidR="00321DF9" w:rsidRDefault="00C617DB" w:rsidP="0023181B">
      <w:pPr>
        <w:pStyle w:val="ListParagraph"/>
        <w:numPr>
          <w:ilvl w:val="0"/>
          <w:numId w:val="7"/>
        </w:numPr>
      </w:pPr>
      <w:r>
        <w:t xml:space="preserve">regularly reviewing the structure, size, and composition (including the skills, knowledge, experience and diversity) of the board </w:t>
      </w:r>
    </w:p>
    <w:p w14:paraId="211FC3D6" w14:textId="012C41C0" w:rsidR="00C617DB" w:rsidRDefault="00321DF9" w:rsidP="0023181B">
      <w:pPr>
        <w:pStyle w:val="ListParagraph"/>
        <w:numPr>
          <w:ilvl w:val="0"/>
          <w:numId w:val="7"/>
        </w:numPr>
      </w:pPr>
      <w:r>
        <w:t xml:space="preserve">development of the Company’s approach to succession planning </w:t>
      </w:r>
      <w:r w:rsidR="00C617DB">
        <w:t>and mak</w:t>
      </w:r>
      <w:r>
        <w:t>ing</w:t>
      </w:r>
      <w:r w:rsidR="00C617DB">
        <w:t xml:space="preserve"> recommendations to the board with regard to any changes </w:t>
      </w:r>
      <w:r>
        <w:t xml:space="preserve">in </w:t>
      </w:r>
      <w:r w:rsidR="00C617DB">
        <w:t xml:space="preserve">succession planning and vacancies; and </w:t>
      </w:r>
    </w:p>
    <w:p w14:paraId="7DB024E2" w14:textId="3A4564CF" w:rsidR="00321DF9" w:rsidRDefault="00C617DB" w:rsidP="0023181B">
      <w:pPr>
        <w:pStyle w:val="ListParagraph"/>
        <w:numPr>
          <w:ilvl w:val="0"/>
          <w:numId w:val="7"/>
        </w:numPr>
      </w:pPr>
      <w:r>
        <w:t xml:space="preserve">identifying suitable candidates from a wide range of backgrounds to be considered for positions on the board. </w:t>
      </w:r>
    </w:p>
    <w:p w14:paraId="735CB31C" w14:textId="77777777" w:rsidR="00FB0781" w:rsidRDefault="00FB0781" w:rsidP="00C617DB">
      <w:pPr>
        <w:rPr>
          <w:b/>
          <w:highlight w:val="yellow"/>
        </w:rPr>
      </w:pPr>
    </w:p>
    <w:p w14:paraId="591DED8C" w14:textId="2DF38C5E" w:rsidR="00C617DB" w:rsidRPr="002A1C91" w:rsidRDefault="00B92988" w:rsidP="00C617DB">
      <w:pPr>
        <w:rPr>
          <w:b/>
        </w:rPr>
      </w:pPr>
      <w:r w:rsidRPr="002A1C91">
        <w:rPr>
          <w:b/>
        </w:rPr>
        <w:t>Anti-Bribery Policy</w:t>
      </w:r>
    </w:p>
    <w:p w14:paraId="6C2EFC28" w14:textId="79768C94" w:rsidR="00C617DB" w:rsidRDefault="00C617DB" w:rsidP="00C617DB">
      <w:r w:rsidRPr="002A1C91">
        <w:t>The Group has a robust anti-bribery  policy which applies to the Board, all employees of the Group and persons associated with the Group (such as consultants, contractors or agency staff), requiring them to observe and uphold a zero tolerance position on bribery and corruption, as well as providing guidance on how to recognise and deal with bribery and corruption issues and their potential consequences, while preserving acceptable boundaries of corporate hospitality and entertainment. The Company expects all employees and persons associated with the Group to conduct their day-to-day business activities in a fair, honest and ethical manner, be aware of and refer to this policy in all of their business activities worldwide and to conduct business on the Group’s behalf in compliance with it. Management at all levels are responsible for ensuring that those reporting to them, internally and externally, are made aware of and understand this policy.</w:t>
      </w:r>
      <w:r>
        <w:t xml:space="preserve"> </w:t>
      </w:r>
    </w:p>
    <w:p w14:paraId="618C84BD" w14:textId="77777777" w:rsidR="00C617DB" w:rsidRPr="00644842" w:rsidRDefault="00C617DB" w:rsidP="00C617DB">
      <w:pPr>
        <w:rPr>
          <w:b/>
        </w:rPr>
      </w:pPr>
      <w:r w:rsidRPr="00644842">
        <w:rPr>
          <w:b/>
        </w:rPr>
        <w:t xml:space="preserve">Share Dealing Code </w:t>
      </w:r>
    </w:p>
    <w:p w14:paraId="66CD2A63" w14:textId="77777777" w:rsidR="00C617DB" w:rsidRDefault="00C617DB" w:rsidP="00C617DB">
      <w:r>
        <w:t xml:space="preserve">The Company has adopted a share dealing code to ensure directors and certain employees do not abuse, and do not place themselves under suspicion of abusing inside information of which they are in possession and to comply with its obligations under the Market Abuse Regulation ("MAR") which applies to the Company by virtue of its shares being traded on AIM. Furthermore, the Company's share dealing code is compliant with the AIM Rules for Companies published by the London Stock Exchange (as amended from time to time). </w:t>
      </w:r>
    </w:p>
    <w:p w14:paraId="67E00F19" w14:textId="77777777" w:rsidR="00C617DB" w:rsidRDefault="00C617DB" w:rsidP="00C617DB">
      <w:r>
        <w:t xml:space="preserve">Under the share dealing code, the Company must: </w:t>
      </w:r>
    </w:p>
    <w:p w14:paraId="19B02AF2" w14:textId="420980D9" w:rsidR="00C617DB" w:rsidRDefault="00C617DB" w:rsidP="0023181B">
      <w:pPr>
        <w:pStyle w:val="ListParagraph"/>
        <w:numPr>
          <w:ilvl w:val="0"/>
          <w:numId w:val="7"/>
        </w:numPr>
      </w:pPr>
      <w:r>
        <w:t xml:space="preserve">disclose all inside information to the public as soon as possible by way of market announcement unless certain circumstances exist in which the disclosure of the inside information may be delayed; </w:t>
      </w:r>
    </w:p>
    <w:p w14:paraId="166C38DE" w14:textId="161AA0AC" w:rsidR="00C617DB" w:rsidRDefault="00C617DB" w:rsidP="0023181B">
      <w:pPr>
        <w:pStyle w:val="ListParagraph"/>
        <w:numPr>
          <w:ilvl w:val="0"/>
          <w:numId w:val="7"/>
        </w:numPr>
      </w:pPr>
      <w:r>
        <w:lastRenderedPageBreak/>
        <w:t xml:space="preserve">keep a list of each person who is in possession of inside information relating to the Company; </w:t>
      </w:r>
    </w:p>
    <w:p w14:paraId="4B7B6B32" w14:textId="363075EC" w:rsidR="00700C6B" w:rsidRDefault="00700C6B" w:rsidP="002A1C91">
      <w:pPr>
        <w:pStyle w:val="ListParagraph"/>
        <w:numPr>
          <w:ilvl w:val="0"/>
          <w:numId w:val="7"/>
        </w:numPr>
      </w:pPr>
      <w:r>
        <w:t>ensure</w:t>
      </w:r>
      <w:r w:rsidR="00C617DB">
        <w:t xml:space="preserve"> that all persons discharging managerial responsibilities and certain employees are given clearance by the Company before they are allowed to trade in Company securities;</w:t>
      </w:r>
      <w:r>
        <w:t xml:space="preserve"> </w:t>
      </w:r>
      <w:r w:rsidR="00C617DB">
        <w:t xml:space="preserve">and </w:t>
      </w:r>
    </w:p>
    <w:p w14:paraId="0BBC2BF9" w14:textId="77777777" w:rsidR="00FB0781" w:rsidRPr="00FB0781" w:rsidRDefault="00700C6B" w:rsidP="00FB0781">
      <w:pPr>
        <w:pStyle w:val="ListParagraph"/>
        <w:numPr>
          <w:ilvl w:val="0"/>
          <w:numId w:val="12"/>
        </w:numPr>
        <w:ind w:left="709" w:hanging="283"/>
        <w:rPr>
          <w:b/>
        </w:rPr>
      </w:pPr>
      <w:r>
        <w:t xml:space="preserve">ensure </w:t>
      </w:r>
      <w:r w:rsidR="00C617DB">
        <w:t xml:space="preserve">that all persons discharging managerial responsibilities and persons closely associated to them notify both the Company and the Financial Conduct Authority of all trades in Company securities that they make. </w:t>
      </w:r>
    </w:p>
    <w:p w14:paraId="1F3F2887" w14:textId="77777777" w:rsidR="00FB0781" w:rsidRPr="00FB0781" w:rsidRDefault="00FB0781" w:rsidP="00FB0781">
      <w:pPr>
        <w:pStyle w:val="ListParagraph"/>
        <w:ind w:left="709"/>
        <w:rPr>
          <w:b/>
        </w:rPr>
      </w:pPr>
    </w:p>
    <w:p w14:paraId="2E56030C" w14:textId="4CEF9BF7" w:rsidR="002958C7" w:rsidRPr="00FB0781" w:rsidRDefault="002958C7" w:rsidP="00FB0781">
      <w:pPr>
        <w:rPr>
          <w:b/>
        </w:rPr>
      </w:pPr>
      <w:r w:rsidRPr="00FB0781">
        <w:rPr>
          <w:b/>
        </w:rPr>
        <w:t xml:space="preserve">Takeover Code </w:t>
      </w:r>
    </w:p>
    <w:p w14:paraId="34BFBBB3" w14:textId="77777777" w:rsidR="002958C7" w:rsidRDefault="002958C7" w:rsidP="002958C7">
      <w:r>
        <w:t xml:space="preserve">The UK City Code on Takeovers and Mergers applies to the Company. </w:t>
      </w:r>
    </w:p>
    <w:p w14:paraId="3A90A1C9" w14:textId="77777777" w:rsidR="002958C7" w:rsidRPr="00644842" w:rsidRDefault="002958C7" w:rsidP="002958C7">
      <w:pPr>
        <w:rPr>
          <w:b/>
        </w:rPr>
      </w:pPr>
      <w:r w:rsidRPr="00644842">
        <w:rPr>
          <w:b/>
        </w:rPr>
        <w:t xml:space="preserve">Corporate Governance Disclosures </w:t>
      </w:r>
    </w:p>
    <w:tbl>
      <w:tblPr>
        <w:tblStyle w:val="TableGrid"/>
        <w:tblW w:w="0" w:type="auto"/>
        <w:tblLook w:val="04A0" w:firstRow="1" w:lastRow="0" w:firstColumn="1" w:lastColumn="0" w:noHBand="0" w:noVBand="1"/>
      </w:tblPr>
      <w:tblGrid>
        <w:gridCol w:w="4508"/>
        <w:gridCol w:w="4508"/>
      </w:tblGrid>
      <w:tr w:rsidR="002958C7" w14:paraId="594C76F4" w14:textId="77777777" w:rsidTr="002958C7">
        <w:tc>
          <w:tcPr>
            <w:tcW w:w="4508" w:type="dxa"/>
          </w:tcPr>
          <w:p w14:paraId="599B7B1A" w14:textId="5E1676E6" w:rsidR="002958C7" w:rsidRPr="00EA19E3" w:rsidRDefault="00B16B19" w:rsidP="002958C7">
            <w:pPr>
              <w:rPr>
                <w:b/>
              </w:rPr>
            </w:pPr>
            <w:r w:rsidRPr="00EA19E3">
              <w:rPr>
                <w:b/>
              </w:rPr>
              <w:t>Principal</w:t>
            </w:r>
          </w:p>
        </w:tc>
        <w:tc>
          <w:tcPr>
            <w:tcW w:w="4508" w:type="dxa"/>
          </w:tcPr>
          <w:p w14:paraId="3CCE818B" w14:textId="6EAB671B" w:rsidR="002958C7" w:rsidRPr="00EA19E3" w:rsidRDefault="00B16B19" w:rsidP="002958C7">
            <w:pPr>
              <w:rPr>
                <w:b/>
              </w:rPr>
            </w:pPr>
            <w:r w:rsidRPr="00EA19E3">
              <w:rPr>
                <w:b/>
              </w:rPr>
              <w:t>Disclosure</w:t>
            </w:r>
          </w:p>
        </w:tc>
      </w:tr>
      <w:tr w:rsidR="002958C7" w14:paraId="4053ED21" w14:textId="77777777" w:rsidTr="002958C7">
        <w:tc>
          <w:tcPr>
            <w:tcW w:w="4508" w:type="dxa"/>
          </w:tcPr>
          <w:p w14:paraId="657C5717" w14:textId="50852413" w:rsidR="002958C7" w:rsidRDefault="00B16B19" w:rsidP="002958C7">
            <w:r>
              <w:t>Establish a strategy and business model which promotes long-term value for shareholders.</w:t>
            </w:r>
          </w:p>
        </w:tc>
        <w:tc>
          <w:tcPr>
            <w:tcW w:w="4508" w:type="dxa"/>
          </w:tcPr>
          <w:p w14:paraId="52A88679" w14:textId="4EBE6A5B" w:rsidR="00DF51F0" w:rsidRDefault="00B16B19" w:rsidP="00DF51F0">
            <w:r>
              <w:t xml:space="preserve">Our strategy and business model are set out </w:t>
            </w:r>
            <w:r w:rsidR="00DF51F0">
              <w:t>with</w:t>
            </w:r>
            <w:r>
              <w:t xml:space="preserve">in our Annual Report </w:t>
            </w:r>
            <w:r w:rsidR="00EA19E3">
              <w:t xml:space="preserve">and Accounts </w:t>
            </w:r>
            <w:r w:rsidR="00DF51F0">
              <w:t xml:space="preserve">which is kept under regular review by </w:t>
            </w:r>
          </w:p>
          <w:p w14:paraId="1FD157F9" w14:textId="5A0D3281" w:rsidR="002958C7" w:rsidRDefault="00DF51F0" w:rsidP="00DF51F0">
            <w:r>
              <w:t xml:space="preserve">the Board. </w:t>
            </w:r>
          </w:p>
          <w:p w14:paraId="6E25EF22" w14:textId="0EC111B7" w:rsidR="00EA19E3" w:rsidRDefault="00EA19E3" w:rsidP="002958C7"/>
        </w:tc>
      </w:tr>
      <w:tr w:rsidR="002958C7" w14:paraId="3B2459C8" w14:textId="77777777" w:rsidTr="002958C7">
        <w:tc>
          <w:tcPr>
            <w:tcW w:w="4508" w:type="dxa"/>
          </w:tcPr>
          <w:p w14:paraId="6EBCD58A" w14:textId="0BEEAA02" w:rsidR="002958C7" w:rsidRDefault="00B16B19" w:rsidP="002958C7">
            <w:r>
              <w:t>Seek to understand and meet shareholder needs and expectations.</w:t>
            </w:r>
          </w:p>
        </w:tc>
        <w:tc>
          <w:tcPr>
            <w:tcW w:w="4508" w:type="dxa"/>
          </w:tcPr>
          <w:p w14:paraId="10D010C2" w14:textId="0941250D" w:rsidR="00B92988" w:rsidRDefault="00B16B19" w:rsidP="00DF51F0">
            <w:r>
              <w:t xml:space="preserve">The Company will communicate with Shareholders and the market generally using a Regulatory Information Service provider for regulatory news releases which, in accordance with AIM Rule 26, will be available on the Company’s website along with interim and annual accounts, shareholder notifications and other corporate governance material for at least the last five years. Shareholder votes will be notified and kept on the website in a clear and transparent manner. Shareholders will have the opportunity to meet Board members at general meetings and there may be other opportunities such as investor meetings and presentations and webcasts at which shareholders and stakeholders will be able to ask questions of management. </w:t>
            </w:r>
          </w:p>
          <w:p w14:paraId="25D6F129" w14:textId="77777777" w:rsidR="00B92988" w:rsidRDefault="00B92988" w:rsidP="00B92988"/>
          <w:p w14:paraId="6BE821E3" w14:textId="6E355241" w:rsidR="00B92988" w:rsidRDefault="00B92988" w:rsidP="00B92988">
            <w:r>
              <w:t xml:space="preserve">Direct contact to the Company can be made by shareholders - contact details are included in all announcements and are available on the Company website.  </w:t>
            </w:r>
          </w:p>
          <w:p w14:paraId="0EA1813A" w14:textId="77777777" w:rsidR="00B92988" w:rsidRDefault="00B92988" w:rsidP="00B92988"/>
          <w:p w14:paraId="4368FA40" w14:textId="58319FAD" w:rsidR="00B92988" w:rsidRDefault="00B92988" w:rsidP="00B92988">
            <w:r>
              <w:t>Feedback obtained from shareholders obtained via the above-mentioned channels is discussed by the Board to ensure solid understanding of the shareholder voice.</w:t>
            </w:r>
          </w:p>
          <w:p w14:paraId="02C78C50" w14:textId="77777777" w:rsidR="00B92988" w:rsidRDefault="00B92988" w:rsidP="00B92988"/>
          <w:p w14:paraId="5D590512" w14:textId="51BA59AD" w:rsidR="00EA19E3" w:rsidRDefault="00B92988" w:rsidP="002A1C91">
            <w:pPr>
              <w:spacing w:after="160" w:line="259" w:lineRule="auto"/>
            </w:pPr>
            <w:r>
              <w:lastRenderedPageBreak/>
              <w:t xml:space="preserve">For any investor relations queries, please get in touch with us at </w:t>
            </w:r>
            <w:r w:rsidR="002A1C91">
              <w:t xml:space="preserve">Investors Mailbox </w:t>
            </w:r>
            <w:hyperlink r:id="rId9" w:history="1">
              <w:r w:rsidR="002A1C91">
                <w:rPr>
                  <w:rStyle w:val="Hyperlink"/>
                </w:rPr>
                <w:t>investors@themindgym.com</w:t>
              </w:r>
            </w:hyperlink>
            <w:r w:rsidRPr="002A1C91">
              <w:t>.</w:t>
            </w:r>
          </w:p>
        </w:tc>
      </w:tr>
      <w:tr w:rsidR="002958C7" w14:paraId="4B7ACCD6" w14:textId="77777777" w:rsidTr="002958C7">
        <w:tc>
          <w:tcPr>
            <w:tcW w:w="4508" w:type="dxa"/>
          </w:tcPr>
          <w:p w14:paraId="7C952A1D" w14:textId="53CE35F1" w:rsidR="002958C7" w:rsidRDefault="00B16B19" w:rsidP="002958C7">
            <w:r>
              <w:lastRenderedPageBreak/>
              <w:t>Take into account wider stakeholder and social responsibilities and their implications for long term success</w:t>
            </w:r>
            <w:r w:rsidR="00EA19E3">
              <w:t>.</w:t>
            </w:r>
          </w:p>
        </w:tc>
        <w:tc>
          <w:tcPr>
            <w:tcW w:w="4508" w:type="dxa"/>
          </w:tcPr>
          <w:p w14:paraId="19B61421" w14:textId="62CDEEA2" w:rsidR="00DF51F0" w:rsidRDefault="00B16B19" w:rsidP="00DF51F0">
            <w:r>
              <w:t xml:space="preserve">The Board believes that other than shareholders, the Group’s key stakeholders are the Group’s staff and customers. Given the size of the Group, all matters relating to customers and key </w:t>
            </w:r>
            <w:r w:rsidR="00DF51F0">
              <w:t xml:space="preserve">staff </w:t>
            </w:r>
            <w:r>
              <w:t>are dealt with at Board level</w:t>
            </w:r>
            <w:r w:rsidR="00EA19E3">
              <w:t>.</w:t>
            </w:r>
            <w:r w:rsidR="00DF51F0">
              <w:t xml:space="preserve"> </w:t>
            </w:r>
          </w:p>
          <w:p w14:paraId="20F1AA99" w14:textId="77777777" w:rsidR="00DF51F0" w:rsidRDefault="00DF51F0" w:rsidP="00DF51F0"/>
          <w:p w14:paraId="017DA049" w14:textId="3B794042" w:rsidR="00EA19E3" w:rsidRDefault="00DF51F0" w:rsidP="00DF51F0">
            <w:r>
              <w:t xml:space="preserve">The professional, expert and passionate staff of the Company deliver the highest quality of service to our customers. The Company continues to invest in the retention and development of its staff and is committed to ensuring the continued success and growth of our customers. </w:t>
            </w:r>
          </w:p>
        </w:tc>
      </w:tr>
      <w:tr w:rsidR="00DF51F0" w14:paraId="5A0D8E19" w14:textId="77777777" w:rsidTr="002958C7">
        <w:tc>
          <w:tcPr>
            <w:tcW w:w="4508" w:type="dxa"/>
          </w:tcPr>
          <w:p w14:paraId="6C854FF2" w14:textId="2F270440" w:rsidR="00DF51F0" w:rsidRDefault="00DF51F0" w:rsidP="002958C7">
            <w:r>
              <w:t>M</w:t>
            </w:r>
            <w:r w:rsidRPr="00DF51F0">
              <w:t>aintain the board as a well-functioning, balanced team led by the chair</w:t>
            </w:r>
          </w:p>
        </w:tc>
        <w:tc>
          <w:tcPr>
            <w:tcW w:w="4508" w:type="dxa"/>
          </w:tcPr>
          <w:p w14:paraId="2D5F509A" w14:textId="4899443A" w:rsidR="00DF51F0" w:rsidRDefault="00DF51F0" w:rsidP="00DF51F0">
            <w:r w:rsidRPr="00DF51F0">
              <w:t>The Board currently comprises the Board Chair, three Executive Directors, two independent Non-Executive Directors, and two Non-Executive Director</w:t>
            </w:r>
            <w:r>
              <w:t>s</w:t>
            </w:r>
            <w:r w:rsidRPr="00DF51F0">
              <w:t xml:space="preserve"> who are not considered by the Board to be independent. Its composition is therefore in line with the QCA Code</w:t>
            </w:r>
            <w:r>
              <w:t xml:space="preserve">. </w:t>
            </w:r>
          </w:p>
          <w:p w14:paraId="3ADB37A4" w14:textId="61DAE367" w:rsidR="00DF51F0" w:rsidRDefault="00DF51F0" w:rsidP="00DF51F0"/>
          <w:p w14:paraId="2552CD5F" w14:textId="017E33AF" w:rsidR="00DF51F0" w:rsidRDefault="00DF51F0" w:rsidP="00DF51F0">
            <w:r>
              <w:t>All Board members have clearly defined roles and responsibilities. We have articulated these roles and responsibilities and have clearly documented matters reserved for the Board as well as having clear and transparent terms of reference for all the committees of the Board. These can be found on the Company’s website.</w:t>
            </w:r>
          </w:p>
          <w:p w14:paraId="2DA92918" w14:textId="5539F8FE" w:rsidR="00DF51F0" w:rsidRDefault="00DF51F0" w:rsidP="00DF51F0"/>
          <w:p w14:paraId="0FA68ACD" w14:textId="3EABF5A3" w:rsidR="00DF51F0" w:rsidRDefault="00DF51F0" w:rsidP="00DF51F0">
            <w:r>
              <w:t xml:space="preserve">We have clear and transparent terms of </w:t>
            </w:r>
          </w:p>
          <w:p w14:paraId="642A44B7" w14:textId="4DC37ADD" w:rsidR="00DF51F0" w:rsidRDefault="00DF51F0" w:rsidP="00DF51F0">
            <w:r>
              <w:t>reference for each of the committees of the Board. These can be found on the Company’s website.</w:t>
            </w:r>
          </w:p>
          <w:p w14:paraId="208E88AA" w14:textId="3780D2F8" w:rsidR="00DF51F0" w:rsidRDefault="00DF51F0" w:rsidP="00DF51F0">
            <w:r>
              <w:t xml:space="preserve"> </w:t>
            </w:r>
          </w:p>
          <w:p w14:paraId="5158E31C" w14:textId="3910BBC8" w:rsidR="00DF51F0" w:rsidRPr="00FB0781" w:rsidRDefault="00DF51F0" w:rsidP="00DF51F0">
            <w:r>
              <w:t>The Company complies with this provision and a full disclosure of how this is applied is set out in the Annual Report and Accounts covering director independence, time commitment and number of meetings of the Board.</w:t>
            </w:r>
          </w:p>
        </w:tc>
      </w:tr>
      <w:tr w:rsidR="002958C7" w14:paraId="3EC40BB8" w14:textId="77777777" w:rsidTr="002958C7">
        <w:tc>
          <w:tcPr>
            <w:tcW w:w="4508" w:type="dxa"/>
          </w:tcPr>
          <w:p w14:paraId="4111100D" w14:textId="57C9B17F" w:rsidR="002958C7" w:rsidRDefault="00B16B19" w:rsidP="002958C7">
            <w:r>
              <w:t>Embed effective risk management, considering both opportunities and threats, throughout the organisation.</w:t>
            </w:r>
          </w:p>
        </w:tc>
        <w:tc>
          <w:tcPr>
            <w:tcW w:w="4508" w:type="dxa"/>
          </w:tcPr>
          <w:p w14:paraId="6D56BB67" w14:textId="77777777" w:rsidR="00DF51F0" w:rsidRPr="00DF51F0" w:rsidRDefault="00DF51F0" w:rsidP="00DF51F0">
            <w:r w:rsidRPr="00DF51F0">
              <w:t xml:space="preserve">Principal risks are monitored and overseen by </w:t>
            </w:r>
          </w:p>
          <w:p w14:paraId="3360546E" w14:textId="77777777" w:rsidR="00DF51F0" w:rsidRPr="00DF51F0" w:rsidRDefault="00DF51F0" w:rsidP="00DF51F0">
            <w:r w:rsidRPr="00DF51F0">
              <w:t xml:space="preserve">our Board and Audit Committee whilst </w:t>
            </w:r>
          </w:p>
          <w:p w14:paraId="1193DD1A" w14:textId="77777777" w:rsidR="00DF51F0" w:rsidRPr="00DF51F0" w:rsidRDefault="00DF51F0" w:rsidP="00DF51F0">
            <w:r w:rsidRPr="00DF51F0">
              <w:t xml:space="preserve">oversight of the remaining lower materiality </w:t>
            </w:r>
          </w:p>
          <w:p w14:paraId="64BC55C8" w14:textId="588D2443" w:rsidR="00DF51F0" w:rsidRDefault="00DF51F0" w:rsidP="00DF51F0">
            <w:r w:rsidRPr="00DF51F0">
              <w:t>risks rests with our leadership teams.  A</w:t>
            </w:r>
            <w:r>
              <w:t xml:space="preserve"> summary of the current principal risks, </w:t>
            </w:r>
          </w:p>
          <w:p w14:paraId="2833C135" w14:textId="77777777" w:rsidR="00DF51F0" w:rsidRDefault="00DF51F0" w:rsidP="00DF51F0">
            <w:r>
              <w:t xml:space="preserve">mitigating actions and status are contained </w:t>
            </w:r>
          </w:p>
          <w:p w14:paraId="29C5ECB9" w14:textId="6487E924" w:rsidR="00EA19E3" w:rsidRDefault="00DF51F0" w:rsidP="00DF51F0">
            <w:r>
              <w:t>within our Annual Report and Accounts.</w:t>
            </w:r>
          </w:p>
          <w:p w14:paraId="46A18DA7" w14:textId="382976F8" w:rsidR="002958C7" w:rsidRDefault="00B16B19" w:rsidP="00B16B19">
            <w:r w:rsidRPr="00EA19E3">
              <w:t xml:space="preserve"> </w:t>
            </w:r>
          </w:p>
        </w:tc>
      </w:tr>
      <w:tr w:rsidR="002958C7" w14:paraId="033BA5D6" w14:textId="77777777" w:rsidTr="002958C7">
        <w:tc>
          <w:tcPr>
            <w:tcW w:w="4508" w:type="dxa"/>
          </w:tcPr>
          <w:p w14:paraId="34072384" w14:textId="77777777" w:rsidR="002958C7" w:rsidRDefault="00B16B19" w:rsidP="00B16B19">
            <w:r>
              <w:lastRenderedPageBreak/>
              <w:t>Ensure that between them the directors have the necessary up to date experience, skills and capabilities</w:t>
            </w:r>
            <w:r w:rsidR="00BF22CC">
              <w:t>.</w:t>
            </w:r>
          </w:p>
          <w:p w14:paraId="020279B3" w14:textId="2FA6FB65" w:rsidR="00BF22CC" w:rsidRDefault="00BF22CC" w:rsidP="00B16B19"/>
        </w:tc>
        <w:tc>
          <w:tcPr>
            <w:tcW w:w="4508" w:type="dxa"/>
          </w:tcPr>
          <w:p w14:paraId="024FC93C" w14:textId="38333DBD" w:rsidR="00DF51F0" w:rsidRDefault="00B16B19" w:rsidP="002958C7">
            <w:r>
              <w:t>Full biographi</w:t>
            </w:r>
            <w:r w:rsidR="00DF51F0">
              <w:t>cal details</w:t>
            </w:r>
            <w:r>
              <w:t xml:space="preserve"> of the Board of Directors </w:t>
            </w:r>
            <w:r w:rsidR="00DF51F0">
              <w:t>are available within our</w:t>
            </w:r>
            <w:r>
              <w:t xml:space="preserve"> Annual Report and Accounts. </w:t>
            </w:r>
            <w:r w:rsidR="00852C78">
              <w:t xml:space="preserve">The Remuneration and Nomination Committee reviews the balance of skills and experience of the </w:t>
            </w:r>
            <w:r w:rsidR="00FB0781">
              <w:t>Directors,</w:t>
            </w:r>
            <w:r w:rsidR="00852C78">
              <w:t xml:space="preserve"> and </w:t>
            </w:r>
            <w:r w:rsidR="00DF51F0">
              <w:t>a</w:t>
            </w:r>
            <w:r w:rsidR="00DF51F0" w:rsidRPr="00DF51F0">
              <w:t xml:space="preserve">ll Board members have clearly defined roles and responsibilities. </w:t>
            </w:r>
            <w:r w:rsidR="00DF51F0">
              <w:t>T</w:t>
            </w:r>
            <w:r w:rsidR="00852C78">
              <w:t>he Board is satisfied that between them the Directors have up to date experience, skills and capabilities.</w:t>
            </w:r>
            <w:r w:rsidR="00DF51F0">
              <w:t xml:space="preserve"> </w:t>
            </w:r>
          </w:p>
          <w:p w14:paraId="6E0152BC" w14:textId="77777777" w:rsidR="00DF51F0" w:rsidRDefault="00DF51F0" w:rsidP="002958C7"/>
          <w:p w14:paraId="34037210" w14:textId="29174CE0" w:rsidR="00EA19E3" w:rsidRDefault="00EA19E3" w:rsidP="00DF51F0"/>
        </w:tc>
      </w:tr>
      <w:tr w:rsidR="002958C7" w14:paraId="41C41CF5" w14:textId="77777777" w:rsidTr="002958C7">
        <w:tc>
          <w:tcPr>
            <w:tcW w:w="4508" w:type="dxa"/>
          </w:tcPr>
          <w:p w14:paraId="2255BAF1" w14:textId="149B94C5" w:rsidR="002958C7" w:rsidRDefault="00BF22CC" w:rsidP="002958C7">
            <w:r>
              <w:t>Evaluate all elements of board performance based on clear and relevant objectives, seeking continuous improvement.</w:t>
            </w:r>
          </w:p>
        </w:tc>
        <w:tc>
          <w:tcPr>
            <w:tcW w:w="4508" w:type="dxa"/>
          </w:tcPr>
          <w:p w14:paraId="4A4AE48B" w14:textId="62FB6093" w:rsidR="00DF51F0" w:rsidRDefault="00DF51F0" w:rsidP="00DF51F0">
            <w:r>
              <w:t>The evaluation of the Board is also carried out internally by way of a self-evaluation questionnaire. The questionnaire includes a focus on the p</w:t>
            </w:r>
            <w:r w:rsidRPr="00DF51F0">
              <w:t>rocesses that underpin the Board’s effectiveness</w:t>
            </w:r>
            <w:r>
              <w:t xml:space="preserve">, how the </w:t>
            </w:r>
            <w:r w:rsidRPr="00DF51F0">
              <w:t xml:space="preserve">Company’s purpose, values and strategy are established and understood by the Board </w:t>
            </w:r>
            <w:r>
              <w:t>as well as the risks facing the Company and the effectiveness of the Board Committees. T</w:t>
            </w:r>
            <w:r w:rsidRPr="00DF51F0">
              <w:t xml:space="preserve">he feedback from </w:t>
            </w:r>
            <w:r>
              <w:t>the evaluation questionnaire</w:t>
            </w:r>
            <w:r w:rsidRPr="00DF51F0">
              <w:t xml:space="preserve"> was discussed and </w:t>
            </w:r>
            <w:proofErr w:type="spellStart"/>
            <w:r w:rsidRPr="00DF51F0">
              <w:t>minuted</w:t>
            </w:r>
            <w:proofErr w:type="spellEnd"/>
            <w:r w:rsidRPr="00DF51F0">
              <w:t xml:space="preserve"> at a Board meeting</w:t>
            </w:r>
            <w:r>
              <w:t xml:space="preserve">.  </w:t>
            </w:r>
          </w:p>
          <w:p w14:paraId="5E8AB7A1" w14:textId="77777777" w:rsidR="00DF51F0" w:rsidRDefault="00DF51F0" w:rsidP="00DF51F0"/>
          <w:p w14:paraId="4DF16BDF" w14:textId="60B4C416" w:rsidR="002958C7" w:rsidRDefault="00DF51F0" w:rsidP="002958C7">
            <w:r w:rsidRPr="00DF51F0">
              <w:t>The method of assessing Board effectiveness and performance will be reviewed on a continuing basis</w:t>
            </w:r>
            <w:r>
              <w:t xml:space="preserve">. </w:t>
            </w:r>
          </w:p>
        </w:tc>
      </w:tr>
      <w:tr w:rsidR="002958C7" w14:paraId="70456C33" w14:textId="77777777" w:rsidTr="002958C7">
        <w:tc>
          <w:tcPr>
            <w:tcW w:w="4508" w:type="dxa"/>
          </w:tcPr>
          <w:p w14:paraId="1B97BFC5" w14:textId="62C02E3C" w:rsidR="002958C7" w:rsidRDefault="00852C78" w:rsidP="002958C7">
            <w:r>
              <w:t>Promote a corporate culture that is based on sound ethical values and behaviours.</w:t>
            </w:r>
          </w:p>
        </w:tc>
        <w:tc>
          <w:tcPr>
            <w:tcW w:w="4508" w:type="dxa"/>
          </w:tcPr>
          <w:p w14:paraId="2C1E6643" w14:textId="3D4DC20F" w:rsidR="00DF51F0" w:rsidRDefault="00852C78" w:rsidP="00DF51F0">
            <w:r>
              <w:t xml:space="preserve">The Company is committed to ensuring that the Group operates according to the highest ethical standards for which the Board has primary responsibility. The Directors believe that the main determinant of whether a business behaves ethically and with integrity is the quality of its people. </w:t>
            </w:r>
            <w:r w:rsidR="00C860BA">
              <w:t>The</w:t>
            </w:r>
            <w:r>
              <w:t xml:space="preserve"> Directors have responsibility for ensuring that individuals employed by the Group demonstrate the highest levels of </w:t>
            </w:r>
            <w:r w:rsidR="00700C6B">
              <w:t>integrity</w:t>
            </w:r>
            <w:r w:rsidR="00700C6B" w:rsidRPr="00DF51F0">
              <w:rPr>
                <w:rFonts w:ascii="Merriweather-Regular" w:hAnsi="Merriweather-Regular" w:cs="Merriweather-Regular"/>
                <w:color w:val="43434A"/>
                <w:sz w:val="16"/>
                <w:szCs w:val="16"/>
              </w:rPr>
              <w:t>.</w:t>
            </w:r>
            <w:r w:rsidR="00DF51F0">
              <w:t xml:space="preserve"> </w:t>
            </w:r>
          </w:p>
          <w:p w14:paraId="6B1AA040" w14:textId="0D5CAA6E" w:rsidR="00DF51F0" w:rsidRDefault="00DF51F0" w:rsidP="00DF51F0"/>
          <w:p w14:paraId="384B0F68" w14:textId="495B48E7" w:rsidR="00DF51F0" w:rsidRDefault="00DF51F0" w:rsidP="00DF51F0">
            <w:r>
              <w:t xml:space="preserve">We have set policies and procedures in place </w:t>
            </w:r>
          </w:p>
          <w:p w14:paraId="329AD429" w14:textId="77777777" w:rsidR="00DF51F0" w:rsidRDefault="00DF51F0" w:rsidP="00DF51F0">
            <w:r>
              <w:t xml:space="preserve">to ensure our colleagues know the standards </w:t>
            </w:r>
          </w:p>
          <w:p w14:paraId="2A989EC0" w14:textId="4B8F8394" w:rsidR="00DF51F0" w:rsidRDefault="00DF51F0" w:rsidP="00FB0781">
            <w:r>
              <w:t>that are expected of them.</w:t>
            </w:r>
          </w:p>
          <w:p w14:paraId="3DDC875F" w14:textId="77777777" w:rsidR="00C860BA" w:rsidRDefault="00C860BA" w:rsidP="00C860BA">
            <w:pPr>
              <w:autoSpaceDE w:val="0"/>
              <w:autoSpaceDN w:val="0"/>
              <w:adjustRightInd w:val="0"/>
              <w:rPr>
                <w:rFonts w:ascii="Merriweather-Regular" w:hAnsi="Merriweather-Regular" w:cs="Merriweather-Regular"/>
                <w:color w:val="43434A"/>
                <w:sz w:val="16"/>
                <w:szCs w:val="16"/>
              </w:rPr>
            </w:pPr>
          </w:p>
          <w:p w14:paraId="675F221D" w14:textId="189F99D0" w:rsidR="00C860BA" w:rsidRPr="00C860BA" w:rsidRDefault="00C860BA" w:rsidP="00C860BA">
            <w:pPr>
              <w:autoSpaceDE w:val="0"/>
              <w:autoSpaceDN w:val="0"/>
              <w:adjustRightInd w:val="0"/>
              <w:rPr>
                <w:rFonts w:ascii="Merriweather-Regular" w:hAnsi="Merriweather-Regular" w:cs="Merriweather-Regular"/>
                <w:color w:val="43434A"/>
                <w:sz w:val="16"/>
                <w:szCs w:val="16"/>
              </w:rPr>
            </w:pPr>
            <w:r w:rsidRPr="00700C6B">
              <w:t>The Board recognises the importance of</w:t>
            </w:r>
          </w:p>
          <w:p w14:paraId="47AC8F99" w14:textId="729E826C" w:rsidR="00C860BA" w:rsidRPr="00700C6B" w:rsidRDefault="008B47C2" w:rsidP="00C860BA">
            <w:pPr>
              <w:autoSpaceDE w:val="0"/>
              <w:autoSpaceDN w:val="0"/>
              <w:adjustRightInd w:val="0"/>
            </w:pPr>
            <w:r w:rsidRPr="008B47C2">
              <w:t xml:space="preserve">promoting the </w:t>
            </w:r>
            <w:r w:rsidR="00C860BA" w:rsidRPr="00700C6B">
              <w:t>culture and monitoring how it is</w:t>
            </w:r>
          </w:p>
          <w:p w14:paraId="420DAAFC" w14:textId="77777777" w:rsidR="00C860BA" w:rsidRPr="00700C6B" w:rsidRDefault="00C860BA" w:rsidP="00C860BA">
            <w:pPr>
              <w:autoSpaceDE w:val="0"/>
              <w:autoSpaceDN w:val="0"/>
              <w:adjustRightInd w:val="0"/>
            </w:pPr>
            <w:r w:rsidRPr="00700C6B">
              <w:t>embedded across the business as the Company</w:t>
            </w:r>
          </w:p>
          <w:p w14:paraId="27A49719" w14:textId="7820C465" w:rsidR="002958C7" w:rsidRDefault="00C860BA" w:rsidP="00700C6B">
            <w:pPr>
              <w:autoSpaceDE w:val="0"/>
              <w:autoSpaceDN w:val="0"/>
              <w:adjustRightInd w:val="0"/>
            </w:pPr>
            <w:r w:rsidRPr="00700C6B">
              <w:t>grows</w:t>
            </w:r>
            <w:r w:rsidR="00DF51F0">
              <w:t xml:space="preserve">. </w:t>
            </w:r>
            <w:r w:rsidRPr="00C860BA">
              <w:t>Trevor Phillips</w:t>
            </w:r>
            <w:r w:rsidR="00DF51F0">
              <w:t>,  one of our</w:t>
            </w:r>
            <w:r w:rsidRPr="00700C6B">
              <w:t xml:space="preserve"> </w:t>
            </w:r>
            <w:r w:rsidR="00DF51F0" w:rsidRPr="00DF51F0">
              <w:t>independent Non-Executive Directors</w:t>
            </w:r>
            <w:r w:rsidR="00DF51F0">
              <w:t xml:space="preserve">, continues to </w:t>
            </w:r>
            <w:r w:rsidRPr="00C860BA">
              <w:t>oversee the</w:t>
            </w:r>
            <w:r>
              <w:t xml:space="preserve"> </w:t>
            </w:r>
            <w:r w:rsidRPr="00700C6B">
              <w:t>monitoring and pro</w:t>
            </w:r>
            <w:r w:rsidRPr="00C860BA">
              <w:t>motion of culture, on behalf of</w:t>
            </w:r>
            <w:r>
              <w:t xml:space="preserve"> </w:t>
            </w:r>
            <w:r w:rsidRPr="00700C6B">
              <w:t xml:space="preserve">the Board. </w:t>
            </w:r>
            <w:r>
              <w:t>We</w:t>
            </w:r>
            <w:r w:rsidRPr="00700C6B">
              <w:t xml:space="preserve"> will provide</w:t>
            </w:r>
            <w:r>
              <w:t xml:space="preserve"> </w:t>
            </w:r>
            <w:r w:rsidRPr="00700C6B">
              <w:t>more informa</w:t>
            </w:r>
            <w:r w:rsidRPr="00C860BA">
              <w:t>tion on this in the 202</w:t>
            </w:r>
            <w:r w:rsidR="00DF51F0">
              <w:t>3</w:t>
            </w:r>
            <w:r w:rsidRPr="00C860BA">
              <w:t xml:space="preserve"> Annual</w:t>
            </w:r>
            <w:r>
              <w:t xml:space="preserve"> </w:t>
            </w:r>
            <w:r w:rsidRPr="00700C6B">
              <w:t>Report and Accounts.</w:t>
            </w:r>
          </w:p>
        </w:tc>
      </w:tr>
      <w:tr w:rsidR="002958C7" w14:paraId="11EB7A33" w14:textId="77777777" w:rsidTr="002958C7">
        <w:tc>
          <w:tcPr>
            <w:tcW w:w="4508" w:type="dxa"/>
          </w:tcPr>
          <w:p w14:paraId="3254E3BA" w14:textId="3608ECB0" w:rsidR="002958C7" w:rsidRDefault="00852C78" w:rsidP="002958C7">
            <w:r>
              <w:lastRenderedPageBreak/>
              <w:t>Maintain governance structures and processes that are fit for purpose and support good decision making by the board</w:t>
            </w:r>
            <w:r w:rsidR="00EA19E3">
              <w:t>.</w:t>
            </w:r>
          </w:p>
        </w:tc>
        <w:tc>
          <w:tcPr>
            <w:tcW w:w="4508" w:type="dxa"/>
          </w:tcPr>
          <w:p w14:paraId="760EA8BD" w14:textId="77777777" w:rsidR="00DF51F0" w:rsidRDefault="00852C78" w:rsidP="00DF51F0">
            <w:r>
              <w:t>W</w:t>
            </w:r>
            <w:r w:rsidRPr="00336CD7">
              <w:t>e believe that the policies, procedures and systems we have implemented to date, provide a firm foundation for our governance structure</w:t>
            </w:r>
            <w:r>
              <w:t>.</w:t>
            </w:r>
          </w:p>
          <w:p w14:paraId="0391F64D" w14:textId="77777777" w:rsidR="00DF51F0" w:rsidRDefault="00DF51F0" w:rsidP="00DF51F0"/>
          <w:p w14:paraId="7DB13281" w14:textId="292FA93C" w:rsidR="00EA19E3" w:rsidRDefault="00DF51F0" w:rsidP="00DF51F0">
            <w:r>
              <w:t xml:space="preserve">The Board is supported by the Audit, Nomination and Remuneration committees.  The membership and terms of reference of each committee are included </w:t>
            </w:r>
            <w:r w:rsidR="00852C78">
              <w:t xml:space="preserve">in our Corporate Governance Report </w:t>
            </w:r>
            <w:r>
              <w:t xml:space="preserve">within </w:t>
            </w:r>
            <w:r w:rsidR="00852C78">
              <w:t>the Annual Report and Accounts.</w:t>
            </w:r>
          </w:p>
        </w:tc>
      </w:tr>
      <w:tr w:rsidR="002958C7" w14:paraId="383B7589" w14:textId="77777777" w:rsidTr="002958C7">
        <w:tc>
          <w:tcPr>
            <w:tcW w:w="4508" w:type="dxa"/>
          </w:tcPr>
          <w:p w14:paraId="11BBA968" w14:textId="06B0AA4B" w:rsidR="002958C7" w:rsidRDefault="00852C78" w:rsidP="002958C7">
            <w:r>
              <w:t>Communicate how the company is governed by maintaining a dialogue with shareholders and other relevant stakeholders</w:t>
            </w:r>
          </w:p>
        </w:tc>
        <w:tc>
          <w:tcPr>
            <w:tcW w:w="4508" w:type="dxa"/>
          </w:tcPr>
          <w:p w14:paraId="112B88A2" w14:textId="1700D153" w:rsidR="002958C7" w:rsidRDefault="00DF51F0" w:rsidP="00DF51F0">
            <w:r>
              <w:t xml:space="preserve">The Company communicates with shareholders though half yearly updates, and as set out in Principle 2 above. </w:t>
            </w:r>
          </w:p>
          <w:p w14:paraId="35F4EEBA" w14:textId="77777777" w:rsidR="00DF51F0" w:rsidRDefault="00DF51F0" w:rsidP="00DF51F0"/>
          <w:p w14:paraId="38E492AB" w14:textId="4EBCC6BD" w:rsidR="00DF51F0" w:rsidRDefault="00DF51F0" w:rsidP="00DF51F0">
            <w:r>
              <w:t xml:space="preserve">The Corporate Governance Statement in the </w:t>
            </w:r>
          </w:p>
          <w:p w14:paraId="675EBB11" w14:textId="79D69D1A" w:rsidR="00DF51F0" w:rsidRDefault="00DF51F0" w:rsidP="00DF51F0">
            <w:r>
              <w:t>Annual Report and Accounts contains a detailed description of the way in which the Company is governed and includes reports from the Board Committees outlining the work undertaking during the year.</w:t>
            </w:r>
          </w:p>
        </w:tc>
      </w:tr>
    </w:tbl>
    <w:p w14:paraId="2C9D8B5D" w14:textId="77777777" w:rsidR="002958C7" w:rsidRDefault="002958C7" w:rsidP="002958C7"/>
    <w:p w14:paraId="765DDDF4" w14:textId="77777777" w:rsidR="002958C7" w:rsidRDefault="002958C7" w:rsidP="002958C7"/>
    <w:p w14:paraId="0A18DA25" w14:textId="25EDA94A" w:rsidR="002958C7" w:rsidRDefault="002958C7" w:rsidP="002958C7">
      <w:r>
        <w:t xml:space="preserve">Date on which this information was last reviewed: </w:t>
      </w:r>
      <w:r w:rsidR="002A1C91">
        <w:t>15 March</w:t>
      </w:r>
      <w:r w:rsidR="008B47C2">
        <w:t xml:space="preserve"> 202</w:t>
      </w:r>
      <w:r w:rsidR="00DF51F0">
        <w:t>3</w:t>
      </w:r>
    </w:p>
    <w:p w14:paraId="767584B2" w14:textId="77777777" w:rsidR="002958C7" w:rsidRDefault="002958C7" w:rsidP="00C617DB"/>
    <w:p w14:paraId="157096E7" w14:textId="77777777" w:rsidR="00C617DB" w:rsidRDefault="00C617DB" w:rsidP="00C617DB"/>
    <w:sectPr w:rsidR="00C617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erriweather-Regular">
    <w:altName w:val="MS Gothic"/>
    <w:panose1 w:val="00000000000000000000"/>
    <w:charset w:val="00"/>
    <w:family w:val="roman"/>
    <w:notTrueType/>
    <w:pitch w:val="default"/>
    <w:sig w:usb0="00000003" w:usb1="08070000" w:usb2="00000010" w:usb3="00000000" w:csb0="0002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43D79"/>
    <w:multiLevelType w:val="hybridMultilevel"/>
    <w:tmpl w:val="F5DEC9FE"/>
    <w:lvl w:ilvl="0" w:tplc="2FCC169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D13E8A"/>
    <w:multiLevelType w:val="hybridMultilevel"/>
    <w:tmpl w:val="E314FB4A"/>
    <w:lvl w:ilvl="0" w:tplc="2FCC169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880F9F"/>
    <w:multiLevelType w:val="hybridMultilevel"/>
    <w:tmpl w:val="D34CC164"/>
    <w:lvl w:ilvl="0" w:tplc="2FCC169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3D5D1C"/>
    <w:multiLevelType w:val="hybridMultilevel"/>
    <w:tmpl w:val="82C09D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5DA232D"/>
    <w:multiLevelType w:val="hybridMultilevel"/>
    <w:tmpl w:val="816CB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E85349"/>
    <w:multiLevelType w:val="hybridMultilevel"/>
    <w:tmpl w:val="D8E43C56"/>
    <w:lvl w:ilvl="0" w:tplc="2FCC169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717710"/>
    <w:multiLevelType w:val="hybridMultilevel"/>
    <w:tmpl w:val="E0001C64"/>
    <w:lvl w:ilvl="0" w:tplc="7C4610B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C0710E"/>
    <w:multiLevelType w:val="hybridMultilevel"/>
    <w:tmpl w:val="FEF24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D24B53"/>
    <w:multiLevelType w:val="hybridMultilevel"/>
    <w:tmpl w:val="CD76E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35087F"/>
    <w:multiLevelType w:val="hybridMultilevel"/>
    <w:tmpl w:val="32846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071293"/>
    <w:multiLevelType w:val="hybridMultilevel"/>
    <w:tmpl w:val="7AAE0584"/>
    <w:lvl w:ilvl="0" w:tplc="2FCC169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3A3645"/>
    <w:multiLevelType w:val="hybridMultilevel"/>
    <w:tmpl w:val="562A1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841A09"/>
    <w:multiLevelType w:val="hybridMultilevel"/>
    <w:tmpl w:val="F9B65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3905786">
    <w:abstractNumId w:val="12"/>
  </w:num>
  <w:num w:numId="2" w16cid:durableId="1231502991">
    <w:abstractNumId w:val="4"/>
  </w:num>
  <w:num w:numId="3" w16cid:durableId="1600521295">
    <w:abstractNumId w:val="9"/>
  </w:num>
  <w:num w:numId="4" w16cid:durableId="252051828">
    <w:abstractNumId w:val="8"/>
  </w:num>
  <w:num w:numId="5" w16cid:durableId="1813280717">
    <w:abstractNumId w:val="7"/>
  </w:num>
  <w:num w:numId="6" w16cid:durableId="900947141">
    <w:abstractNumId w:val="11"/>
  </w:num>
  <w:num w:numId="7" w16cid:durableId="726493581">
    <w:abstractNumId w:val="1"/>
  </w:num>
  <w:num w:numId="8" w16cid:durableId="440951022">
    <w:abstractNumId w:val="5"/>
  </w:num>
  <w:num w:numId="9" w16cid:durableId="351153272">
    <w:abstractNumId w:val="10"/>
  </w:num>
  <w:num w:numId="10" w16cid:durableId="1704600054">
    <w:abstractNumId w:val="0"/>
  </w:num>
  <w:num w:numId="11" w16cid:durableId="1928612615">
    <w:abstractNumId w:val="2"/>
  </w:num>
  <w:num w:numId="12" w16cid:durableId="636568580">
    <w:abstractNumId w:val="3"/>
  </w:num>
  <w:num w:numId="13" w16cid:durableId="11137930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D97"/>
    <w:rsid w:val="00004C57"/>
    <w:rsid w:val="0004490E"/>
    <w:rsid w:val="00083CBB"/>
    <w:rsid w:val="000D4312"/>
    <w:rsid w:val="001C23BD"/>
    <w:rsid w:val="001C6FBD"/>
    <w:rsid w:val="0023181B"/>
    <w:rsid w:val="00236E87"/>
    <w:rsid w:val="00273F17"/>
    <w:rsid w:val="002958C7"/>
    <w:rsid w:val="002A1C91"/>
    <w:rsid w:val="002B162F"/>
    <w:rsid w:val="00321DF9"/>
    <w:rsid w:val="00336CD7"/>
    <w:rsid w:val="00344778"/>
    <w:rsid w:val="003477FD"/>
    <w:rsid w:val="003A5AD3"/>
    <w:rsid w:val="003D5388"/>
    <w:rsid w:val="0042203C"/>
    <w:rsid w:val="00441F3D"/>
    <w:rsid w:val="00482113"/>
    <w:rsid w:val="004940BA"/>
    <w:rsid w:val="004B4E68"/>
    <w:rsid w:val="004C3242"/>
    <w:rsid w:val="004D71D5"/>
    <w:rsid w:val="005A58DE"/>
    <w:rsid w:val="00607D97"/>
    <w:rsid w:val="00612E4A"/>
    <w:rsid w:val="00644842"/>
    <w:rsid w:val="006B42B6"/>
    <w:rsid w:val="00700C6B"/>
    <w:rsid w:val="0070188F"/>
    <w:rsid w:val="00761D97"/>
    <w:rsid w:val="007B4838"/>
    <w:rsid w:val="00812D38"/>
    <w:rsid w:val="00852C78"/>
    <w:rsid w:val="00893FB7"/>
    <w:rsid w:val="008B47C2"/>
    <w:rsid w:val="008C7213"/>
    <w:rsid w:val="008F3C35"/>
    <w:rsid w:val="00961846"/>
    <w:rsid w:val="00A40227"/>
    <w:rsid w:val="00A731F3"/>
    <w:rsid w:val="00B119C7"/>
    <w:rsid w:val="00B16B19"/>
    <w:rsid w:val="00B57CA6"/>
    <w:rsid w:val="00B83356"/>
    <w:rsid w:val="00B92988"/>
    <w:rsid w:val="00BB0A6C"/>
    <w:rsid w:val="00BB2D2A"/>
    <w:rsid w:val="00BF22CC"/>
    <w:rsid w:val="00C000A8"/>
    <w:rsid w:val="00C55F13"/>
    <w:rsid w:val="00C617DB"/>
    <w:rsid w:val="00C81AC6"/>
    <w:rsid w:val="00C860BA"/>
    <w:rsid w:val="00CC441E"/>
    <w:rsid w:val="00D24FB5"/>
    <w:rsid w:val="00DA255F"/>
    <w:rsid w:val="00DB089F"/>
    <w:rsid w:val="00DF51F0"/>
    <w:rsid w:val="00E1216D"/>
    <w:rsid w:val="00EA19E3"/>
    <w:rsid w:val="00EB026A"/>
    <w:rsid w:val="00EC4A14"/>
    <w:rsid w:val="00EC7EC4"/>
    <w:rsid w:val="00EF3F2D"/>
    <w:rsid w:val="00F3486D"/>
    <w:rsid w:val="00F945FE"/>
    <w:rsid w:val="00FB0781"/>
    <w:rsid w:val="00FB1C2C"/>
    <w:rsid w:val="00FE0E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B4A4D"/>
  <w15:chartTrackingRefBased/>
  <w15:docId w15:val="{94B5F273-24A6-4F0D-B376-86F4F06F8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36CD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58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47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4778"/>
    <w:rPr>
      <w:rFonts w:ascii="Segoe UI" w:hAnsi="Segoe UI" w:cs="Segoe UI"/>
      <w:sz w:val="18"/>
      <w:szCs w:val="18"/>
    </w:rPr>
  </w:style>
  <w:style w:type="character" w:customStyle="1" w:styleId="Heading2Char">
    <w:name w:val="Heading 2 Char"/>
    <w:basedOn w:val="DefaultParagraphFont"/>
    <w:link w:val="Heading2"/>
    <w:uiPriority w:val="9"/>
    <w:semiHidden/>
    <w:rsid w:val="00336CD7"/>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336CD7"/>
    <w:rPr>
      <w:sz w:val="16"/>
      <w:szCs w:val="16"/>
    </w:rPr>
  </w:style>
  <w:style w:type="paragraph" w:styleId="CommentText">
    <w:name w:val="annotation text"/>
    <w:basedOn w:val="Normal"/>
    <w:link w:val="CommentTextChar"/>
    <w:uiPriority w:val="99"/>
    <w:unhideWhenUsed/>
    <w:rsid w:val="00336CD7"/>
    <w:pPr>
      <w:spacing w:line="240" w:lineRule="auto"/>
    </w:pPr>
    <w:rPr>
      <w:sz w:val="20"/>
      <w:szCs w:val="20"/>
    </w:rPr>
  </w:style>
  <w:style w:type="character" w:customStyle="1" w:styleId="CommentTextChar">
    <w:name w:val="Comment Text Char"/>
    <w:basedOn w:val="DefaultParagraphFont"/>
    <w:link w:val="CommentText"/>
    <w:uiPriority w:val="99"/>
    <w:rsid w:val="00336CD7"/>
    <w:rPr>
      <w:sz w:val="20"/>
      <w:szCs w:val="20"/>
    </w:rPr>
  </w:style>
  <w:style w:type="paragraph" w:customStyle="1" w:styleId="Default">
    <w:name w:val="Default"/>
    <w:rsid w:val="00893FB7"/>
    <w:pPr>
      <w:autoSpaceDE w:val="0"/>
      <w:autoSpaceDN w:val="0"/>
      <w:adjustRightInd w:val="0"/>
      <w:spacing w:after="0" w:line="240" w:lineRule="auto"/>
    </w:pPr>
    <w:rPr>
      <w:rFonts w:ascii="Trebuchet MS" w:hAnsi="Trebuchet MS" w:cs="Trebuchet MS"/>
      <w:color w:val="000000"/>
      <w:sz w:val="24"/>
      <w:szCs w:val="24"/>
    </w:rPr>
  </w:style>
  <w:style w:type="paragraph" w:styleId="CommentSubject">
    <w:name w:val="annotation subject"/>
    <w:basedOn w:val="CommentText"/>
    <w:next w:val="CommentText"/>
    <w:link w:val="CommentSubjectChar"/>
    <w:uiPriority w:val="99"/>
    <w:semiHidden/>
    <w:unhideWhenUsed/>
    <w:rsid w:val="00893FB7"/>
    <w:rPr>
      <w:b/>
      <w:bCs/>
    </w:rPr>
  </w:style>
  <w:style w:type="character" w:customStyle="1" w:styleId="CommentSubjectChar">
    <w:name w:val="Comment Subject Char"/>
    <w:basedOn w:val="CommentTextChar"/>
    <w:link w:val="CommentSubject"/>
    <w:uiPriority w:val="99"/>
    <w:semiHidden/>
    <w:rsid w:val="00893FB7"/>
    <w:rPr>
      <w:b/>
      <w:bCs/>
      <w:sz w:val="20"/>
      <w:szCs w:val="20"/>
    </w:rPr>
  </w:style>
  <w:style w:type="paragraph" w:styleId="ListParagraph">
    <w:name w:val="List Paragraph"/>
    <w:basedOn w:val="Normal"/>
    <w:uiPriority w:val="34"/>
    <w:qFormat/>
    <w:rsid w:val="00321DF9"/>
    <w:pPr>
      <w:ind w:left="720"/>
      <w:contextualSpacing/>
    </w:pPr>
  </w:style>
  <w:style w:type="character" w:styleId="Hyperlink">
    <w:name w:val="Hyperlink"/>
    <w:basedOn w:val="DefaultParagraphFont"/>
    <w:uiPriority w:val="99"/>
    <w:unhideWhenUsed/>
    <w:rsid w:val="00B57CA6"/>
    <w:rPr>
      <w:color w:val="0563C1" w:themeColor="hyperlink"/>
      <w:u w:val="single"/>
    </w:rPr>
  </w:style>
  <w:style w:type="character" w:styleId="UnresolvedMention">
    <w:name w:val="Unresolved Mention"/>
    <w:basedOn w:val="DefaultParagraphFont"/>
    <w:uiPriority w:val="99"/>
    <w:semiHidden/>
    <w:unhideWhenUsed/>
    <w:rsid w:val="00B57CA6"/>
    <w:rPr>
      <w:color w:val="605E5C"/>
      <w:shd w:val="clear" w:color="auto" w:fill="E1DFDD"/>
    </w:rPr>
  </w:style>
  <w:style w:type="character" w:styleId="FollowedHyperlink">
    <w:name w:val="FollowedHyperlink"/>
    <w:basedOn w:val="DefaultParagraphFont"/>
    <w:uiPriority w:val="99"/>
    <w:semiHidden/>
    <w:unhideWhenUsed/>
    <w:rsid w:val="00A40227"/>
    <w:rPr>
      <w:color w:val="954F72" w:themeColor="followedHyperlink"/>
      <w:u w:val="single"/>
    </w:rPr>
  </w:style>
  <w:style w:type="paragraph" w:styleId="Revision">
    <w:name w:val="Revision"/>
    <w:hidden/>
    <w:uiPriority w:val="99"/>
    <w:semiHidden/>
    <w:rsid w:val="00B929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00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investors@themindgy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25B2E8C7A21545B4C9627C2C421307" ma:contentTypeVersion="10" ma:contentTypeDescription="Create a new document." ma:contentTypeScope="" ma:versionID="c5626a609a01ed93903261b34ca3a634">
  <xsd:schema xmlns:xsd="http://www.w3.org/2001/XMLSchema" xmlns:xs="http://www.w3.org/2001/XMLSchema" xmlns:p="http://schemas.microsoft.com/office/2006/metadata/properties" xmlns:ns3="605fc3ea-d54a-49c1-9a9f-7428cece9aa9" targetNamespace="http://schemas.microsoft.com/office/2006/metadata/properties" ma:root="true" ma:fieldsID="fdbc569a33e7a4626960d81f183511cc" ns3:_="">
    <xsd:import namespace="605fc3ea-d54a-49c1-9a9f-7428cece9aa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5fc3ea-d54a-49c1-9a9f-7428cece9a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DE207-743A-4EDE-8672-60EF7BDFBE33}">
  <ds:schemaRefs>
    <ds:schemaRef ds:uri="http://schemas.microsoft.com/sharepoint/v3/contenttype/forms"/>
  </ds:schemaRefs>
</ds:datastoreItem>
</file>

<file path=customXml/itemProps2.xml><?xml version="1.0" encoding="utf-8"?>
<ds:datastoreItem xmlns:ds="http://schemas.openxmlformats.org/officeDocument/2006/customXml" ds:itemID="{15D05C07-F421-4954-A8D5-505DF7856C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70497A-009D-4571-BDC6-942770956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5fc3ea-d54a-49c1-9a9f-7428cece9a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E389AA-6AA2-4F6F-BE86-1CCEF6834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2461</Words>
  <Characters>14034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Equiniti</Company>
  <LinksUpToDate>false</LinksUpToDate>
  <CharactersWithSpaces>16463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Cotton, Sian</dc:creator>
  <cp:keywords/>
  <dc:description/>
  <cp:lastModifiedBy>Joseph Annandsingh</cp:lastModifiedBy>
  <cp:revision>3</cp:revision>
  <dcterms:created xsi:type="dcterms:W3CDTF">2023-02-20T14:40:00Z</dcterms:created>
  <dcterms:modified xsi:type="dcterms:W3CDTF">2023-03-06T21:12:00Z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0x0101003725B2E8C7A21545B4C9627C2C421307</vt:lpwstr>
  </property>
  <property fmtid="{D5CDD505-2E9C-101B-9397-08002B2CF9AE}" pid="4" name="MSIP_Label_83f4e8eb-fa62-4ba4-aad3-d08cb985a7ce_Enabled">
    <vt:lpwstr>true</vt:lpwstr>
  </property>
  <property fmtid="{D5CDD505-2E9C-101B-9397-08002B2CF9AE}" pid="5" name="MSIP_Label_83f4e8eb-fa62-4ba4-aad3-d08cb985a7ce_SetDate">
    <vt:lpwstr>2023-03-06T21:12:38Z</vt:lpwstr>
  </property>
  <property fmtid="{D5CDD505-2E9C-101B-9397-08002B2CF9AE}" pid="6" name="MSIP_Label_83f4e8eb-fa62-4ba4-aad3-d08cb985a7ce_Method">
    <vt:lpwstr>Standard</vt:lpwstr>
  </property>
  <property fmtid="{D5CDD505-2E9C-101B-9397-08002B2CF9AE}" pid="7" name="MSIP_Label_83f4e8eb-fa62-4ba4-aad3-d08cb985a7ce_Name">
    <vt:lpwstr>Confidential</vt:lpwstr>
  </property>
  <property fmtid="{D5CDD505-2E9C-101B-9397-08002B2CF9AE}" pid="8" name="MSIP_Label_83f4e8eb-fa62-4ba4-aad3-d08cb985a7ce_SiteId">
    <vt:lpwstr>364caab0-235f-420b-8bf0-df30caaf4e3a</vt:lpwstr>
  </property>
  <property fmtid="{D5CDD505-2E9C-101B-9397-08002B2CF9AE}" pid="9" name="MSIP_Label_83f4e8eb-fa62-4ba4-aad3-d08cb985a7ce_ActionId">
    <vt:lpwstr>9f7e5b85-b9fe-49a3-8c2e-64f0e31a4da4</vt:lpwstr>
  </property>
  <property fmtid="{D5CDD505-2E9C-101B-9397-08002B2CF9AE}" pid="10" name="MSIP_Label_83f4e8eb-fa62-4ba4-aad3-d08cb985a7ce_ContentBits">
    <vt:lpwstr>0</vt:lpwstr>
  </property>
</Properties>
</file>